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D" w:rsidRPr="008B3734" w:rsidRDefault="00B90BDD" w:rsidP="00B90BDD">
      <w:pPr>
        <w:pStyle w:val="Heading1"/>
        <w:spacing w:before="0"/>
      </w:pPr>
      <w:r w:rsidRPr="00B90BDD">
        <w:rPr>
          <w:szCs w:val="36"/>
        </w:rPr>
        <w:t xml:space="preserve">Appendix D: Tables as part of an </w:t>
      </w:r>
      <w:r w:rsidR="000F0DA2" w:rsidRPr="00B90BDD">
        <w:rPr>
          <w:szCs w:val="36"/>
        </w:rPr>
        <w:t>Emission Summary and Dispersion Modelling Report</w:t>
      </w:r>
      <w:r w:rsidRPr="00B90BDD">
        <w:t xml:space="preserve"> </w:t>
      </w:r>
    </w:p>
    <w:p w:rsidR="000F0DA2" w:rsidRDefault="00B90BDD" w:rsidP="00D166A3">
      <w:pPr>
        <w:pStyle w:val="Heading2"/>
        <w:spacing w:before="480"/>
        <w:rPr>
          <w:sz w:val="28"/>
          <w:szCs w:val="28"/>
        </w:rPr>
      </w:pPr>
      <w:r w:rsidRPr="009D45EC">
        <w:rPr>
          <w:sz w:val="28"/>
          <w:szCs w:val="28"/>
        </w:rPr>
        <w:t>Table D-1: Suggested Format for a Sources and Contaminants Identification Table</w:t>
      </w:r>
    </w:p>
    <w:tbl>
      <w:tblPr>
        <w:tblStyle w:val="TableGrid"/>
        <w:tblW w:w="5000" w:type="pct"/>
        <w:tblLook w:val="04A0" w:firstRow="1" w:lastRow="0" w:firstColumn="1" w:lastColumn="0" w:noHBand="0" w:noVBand="1"/>
        <w:tblDescription w:val="This is a table that acts as a check-list for the information required to be submitted as part of an Emission Summary and Dispersion Modelling Report"/>
      </w:tblPr>
      <w:tblGrid>
        <w:gridCol w:w="3500"/>
        <w:gridCol w:w="3499"/>
        <w:gridCol w:w="3499"/>
        <w:gridCol w:w="3499"/>
        <w:gridCol w:w="3499"/>
      </w:tblGrid>
      <w:tr w:rsidR="00291764" w:rsidTr="00E17B6D">
        <w:trPr>
          <w:tblHeader/>
        </w:trPr>
        <w:tc>
          <w:tcPr>
            <w:tcW w:w="1000" w:type="pct"/>
            <w:shd w:val="clear" w:color="auto" w:fill="D9D9D9" w:themeFill="background1" w:themeFillShade="D9"/>
          </w:tcPr>
          <w:p w:rsidR="00291764" w:rsidRPr="00B90BDD" w:rsidRDefault="00291764" w:rsidP="00E17B6D">
            <w:pPr>
              <w:jc w:val="center"/>
              <w:rPr>
                <w:rFonts w:cs="Arial"/>
                <w:sz w:val="22"/>
              </w:rPr>
            </w:pPr>
            <w:r w:rsidRPr="00B90BDD">
              <w:rPr>
                <w:rFonts w:cs="Arial"/>
                <w:sz w:val="22"/>
              </w:rPr>
              <w:t>Source ID</w:t>
            </w:r>
          </w:p>
          <w:p w:rsidR="00291764" w:rsidRDefault="00291764" w:rsidP="00B90BDD">
            <w:pPr>
              <w:rPr>
                <w:rFonts w:cs="Arial"/>
                <w:sz w:val="22"/>
              </w:rPr>
            </w:pPr>
          </w:p>
        </w:tc>
        <w:tc>
          <w:tcPr>
            <w:tcW w:w="1000" w:type="pct"/>
            <w:shd w:val="clear" w:color="auto" w:fill="D9D9D9" w:themeFill="background1" w:themeFillShade="D9"/>
          </w:tcPr>
          <w:p w:rsidR="00291764" w:rsidRPr="00444AB7" w:rsidRDefault="00291764" w:rsidP="00B90BDD">
            <w:pPr>
              <w:autoSpaceDE w:val="0"/>
              <w:autoSpaceDN w:val="0"/>
              <w:adjustRightInd w:val="0"/>
              <w:jc w:val="center"/>
              <w:rPr>
                <w:rFonts w:cs="Arial"/>
                <w:sz w:val="22"/>
              </w:rPr>
            </w:pPr>
            <w:r w:rsidRPr="00444AB7">
              <w:rPr>
                <w:rFonts w:cs="Arial"/>
                <w:sz w:val="22"/>
              </w:rPr>
              <w:t xml:space="preserve">Source Description </w:t>
            </w:r>
          </w:p>
          <w:p w:rsidR="00291764" w:rsidRDefault="00291764" w:rsidP="006C2745">
            <w:pPr>
              <w:autoSpaceDE w:val="0"/>
              <w:autoSpaceDN w:val="0"/>
              <w:adjustRightInd w:val="0"/>
              <w:jc w:val="center"/>
              <w:rPr>
                <w:rFonts w:cs="Arial"/>
                <w:sz w:val="22"/>
              </w:rPr>
            </w:pPr>
            <w:r w:rsidRPr="00444AB7">
              <w:rPr>
                <w:rFonts w:cs="Arial"/>
                <w:sz w:val="22"/>
              </w:rPr>
              <w:t>or Title</w:t>
            </w:r>
          </w:p>
        </w:tc>
        <w:tc>
          <w:tcPr>
            <w:tcW w:w="1000" w:type="pct"/>
            <w:shd w:val="clear" w:color="auto" w:fill="D9D9D9" w:themeFill="background1" w:themeFillShade="D9"/>
          </w:tcPr>
          <w:p w:rsidR="00291764" w:rsidRPr="00444AB7" w:rsidRDefault="00291764" w:rsidP="00423A44">
            <w:pPr>
              <w:jc w:val="center"/>
              <w:rPr>
                <w:rFonts w:cs="Arial"/>
                <w:sz w:val="22"/>
              </w:rPr>
            </w:pPr>
            <w:r>
              <w:rPr>
                <w:rFonts w:cs="Arial"/>
                <w:sz w:val="22"/>
              </w:rPr>
              <w:t>General Location</w:t>
            </w:r>
          </w:p>
        </w:tc>
        <w:tc>
          <w:tcPr>
            <w:tcW w:w="1000" w:type="pct"/>
            <w:shd w:val="clear" w:color="auto" w:fill="D9D9D9" w:themeFill="background1" w:themeFillShade="D9"/>
          </w:tcPr>
          <w:p w:rsidR="00291764" w:rsidRDefault="00291764" w:rsidP="00423A44">
            <w:pPr>
              <w:jc w:val="center"/>
              <w:rPr>
                <w:rFonts w:cs="Arial"/>
                <w:sz w:val="22"/>
              </w:rPr>
            </w:pPr>
            <w:r w:rsidRPr="00444AB7">
              <w:rPr>
                <w:rFonts w:cs="Arial"/>
                <w:sz w:val="22"/>
              </w:rPr>
              <w:t>Expected Contaminants</w:t>
            </w:r>
          </w:p>
          <w:p w:rsidR="00291764" w:rsidRDefault="00291764" w:rsidP="00423A44">
            <w:pPr>
              <w:jc w:val="center"/>
              <w:rPr>
                <w:rFonts w:cs="Arial"/>
                <w:sz w:val="22"/>
              </w:rPr>
            </w:pPr>
            <w:r>
              <w:rPr>
                <w:rFonts w:cs="Arial"/>
                <w:sz w:val="22"/>
              </w:rPr>
              <w:t>(there may be multiple contaminants for each source)</w:t>
            </w:r>
          </w:p>
        </w:tc>
        <w:tc>
          <w:tcPr>
            <w:tcW w:w="1000" w:type="pct"/>
            <w:shd w:val="clear" w:color="auto" w:fill="D9D9D9" w:themeFill="background1" w:themeFillShade="D9"/>
          </w:tcPr>
          <w:p w:rsidR="00291764" w:rsidRDefault="00291764" w:rsidP="00423A44">
            <w:pPr>
              <w:autoSpaceDE w:val="0"/>
              <w:autoSpaceDN w:val="0"/>
              <w:adjustRightInd w:val="0"/>
              <w:jc w:val="center"/>
              <w:rPr>
                <w:rFonts w:cs="Arial"/>
                <w:sz w:val="22"/>
              </w:rPr>
            </w:pPr>
            <w:r>
              <w:rPr>
                <w:rFonts w:cs="Arial"/>
                <w:sz w:val="22"/>
              </w:rPr>
              <w:t xml:space="preserve">Contaminant </w:t>
            </w:r>
            <w:r w:rsidRPr="00444AB7">
              <w:rPr>
                <w:rFonts w:cs="Arial"/>
                <w:sz w:val="22"/>
              </w:rPr>
              <w:t>Included in Modelling?</w:t>
            </w:r>
          </w:p>
          <w:p w:rsidR="00291764" w:rsidRDefault="00291764" w:rsidP="00423A44">
            <w:pPr>
              <w:autoSpaceDE w:val="0"/>
              <w:autoSpaceDN w:val="0"/>
              <w:adjustRightInd w:val="0"/>
              <w:jc w:val="center"/>
              <w:rPr>
                <w:rFonts w:cs="Arial"/>
                <w:sz w:val="22"/>
              </w:rPr>
            </w:pPr>
            <w:r>
              <w:rPr>
                <w:rFonts w:cs="Arial"/>
                <w:sz w:val="22"/>
              </w:rPr>
              <w:t>Significant</w:t>
            </w:r>
          </w:p>
          <w:p w:rsidR="00291764" w:rsidRDefault="00291764" w:rsidP="006C2745">
            <w:pPr>
              <w:autoSpaceDE w:val="0"/>
              <w:autoSpaceDN w:val="0"/>
              <w:adjustRightInd w:val="0"/>
              <w:jc w:val="center"/>
              <w:rPr>
                <w:rFonts w:cs="Arial"/>
                <w:sz w:val="22"/>
              </w:rPr>
            </w:pPr>
            <w:r>
              <w:rPr>
                <w:rFonts w:cs="Arial"/>
                <w:sz w:val="22"/>
              </w:rPr>
              <w:t>(Yes or No)</w:t>
            </w:r>
          </w:p>
        </w:tc>
      </w:tr>
      <w:tr w:rsidR="00291764" w:rsidTr="00E17B6D">
        <w:trPr>
          <w:tblHeader/>
        </w:trPr>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0F0DA2">
            <w:pPr>
              <w:rPr>
                <w:rFonts w:cs="Arial"/>
                <w:sz w:val="22"/>
              </w:rPr>
            </w:pPr>
          </w:p>
        </w:tc>
        <w:tc>
          <w:tcPr>
            <w:tcW w:w="1000" w:type="pct"/>
          </w:tcPr>
          <w:p w:rsidR="00291764" w:rsidRPr="000A2B43"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c>
          <w:tcPr>
            <w:tcW w:w="1000" w:type="pct"/>
          </w:tcPr>
          <w:p w:rsidR="00291764" w:rsidRDefault="00291764" w:rsidP="000F0DA2">
            <w:pPr>
              <w:rPr>
                <w:rFonts w:cs="Arial"/>
                <w:sz w:val="22"/>
              </w:rPr>
            </w:pPr>
          </w:p>
        </w:tc>
      </w:tr>
      <w:tr w:rsidR="00291764" w:rsidTr="00E17B6D">
        <w:trPr>
          <w:tblHeader/>
        </w:trPr>
        <w:tc>
          <w:tcPr>
            <w:tcW w:w="1000" w:type="pct"/>
          </w:tcPr>
          <w:p w:rsidR="00291764" w:rsidRDefault="00291764" w:rsidP="006C2745">
            <w:pPr>
              <w:spacing w:before="240"/>
              <w:rPr>
                <w:rFonts w:cs="Arial"/>
                <w:sz w:val="22"/>
              </w:rPr>
            </w:pPr>
          </w:p>
        </w:tc>
        <w:tc>
          <w:tcPr>
            <w:tcW w:w="1000" w:type="pct"/>
          </w:tcPr>
          <w:p w:rsidR="00291764" w:rsidRPr="000A2B43" w:rsidRDefault="00291764" w:rsidP="006C2745">
            <w:pPr>
              <w:spacing w:before="240"/>
              <w:rPr>
                <w:rFonts w:cs="Arial"/>
                <w:sz w:val="22"/>
              </w:rPr>
            </w:pPr>
          </w:p>
        </w:tc>
        <w:tc>
          <w:tcPr>
            <w:tcW w:w="1000" w:type="pct"/>
          </w:tcPr>
          <w:p w:rsidR="00291764" w:rsidRDefault="00291764" w:rsidP="006C2745">
            <w:pPr>
              <w:spacing w:before="240"/>
              <w:rPr>
                <w:rFonts w:cs="Arial"/>
                <w:sz w:val="22"/>
              </w:rPr>
            </w:pPr>
          </w:p>
        </w:tc>
        <w:tc>
          <w:tcPr>
            <w:tcW w:w="1000" w:type="pct"/>
          </w:tcPr>
          <w:p w:rsidR="00291764" w:rsidRDefault="00291764" w:rsidP="006C2745">
            <w:pPr>
              <w:spacing w:before="240"/>
              <w:rPr>
                <w:rFonts w:cs="Arial"/>
                <w:sz w:val="22"/>
              </w:rPr>
            </w:pPr>
          </w:p>
        </w:tc>
        <w:tc>
          <w:tcPr>
            <w:tcW w:w="1000" w:type="pct"/>
          </w:tcPr>
          <w:p w:rsidR="00291764" w:rsidRDefault="00291764" w:rsidP="006C2745">
            <w:pPr>
              <w:spacing w:before="240"/>
              <w:rPr>
                <w:rFonts w:cs="Arial"/>
                <w:sz w:val="22"/>
              </w:rPr>
            </w:pPr>
          </w:p>
        </w:tc>
      </w:tr>
    </w:tbl>
    <w:p w:rsidR="009D45EC" w:rsidRDefault="009D45EC" w:rsidP="006C2745">
      <w:pPr>
        <w:spacing w:before="240"/>
        <w:rPr>
          <w:rFonts w:cs="Arial"/>
          <w:sz w:val="22"/>
        </w:rPr>
      </w:pPr>
      <w:r w:rsidRPr="009D45EC">
        <w:rPr>
          <w:rFonts w:cs="Arial"/>
          <w:sz w:val="22"/>
        </w:rPr>
        <w:t>Notes for Table D-1: Suggested Format for a Sources and Contaminants Identification Table:  It is optional to identify the reference information that was used to identify the Expected Contaminants from the facility. But if it is used, please ensure it is correct and matches the model input files.</w:t>
      </w:r>
    </w:p>
    <w:p w:rsidR="009D45EC" w:rsidRDefault="009D45EC" w:rsidP="009D45EC">
      <w:r>
        <w:br w:type="page"/>
      </w:r>
    </w:p>
    <w:p w:rsidR="00D166A3" w:rsidRDefault="009D45EC" w:rsidP="006C2745">
      <w:pPr>
        <w:pStyle w:val="Heading2"/>
        <w:spacing w:before="0" w:line="240" w:lineRule="auto"/>
        <w:contextualSpacing/>
        <w:rPr>
          <w:sz w:val="28"/>
          <w:szCs w:val="28"/>
        </w:rPr>
      </w:pPr>
      <w:r w:rsidRPr="009D45EC">
        <w:rPr>
          <w:sz w:val="28"/>
          <w:szCs w:val="28"/>
        </w:rPr>
        <w:lastRenderedPageBreak/>
        <w:t>Table D-</w:t>
      </w:r>
      <w:r>
        <w:rPr>
          <w:sz w:val="28"/>
          <w:szCs w:val="28"/>
        </w:rPr>
        <w:t>2a</w:t>
      </w:r>
      <w:r w:rsidRPr="009D45EC">
        <w:rPr>
          <w:sz w:val="28"/>
          <w:szCs w:val="28"/>
        </w:rPr>
        <w:t>: Suggested Format for a Source Summary Table</w:t>
      </w:r>
      <w:r w:rsidR="00D166A3">
        <w:rPr>
          <w:sz w:val="28"/>
          <w:szCs w:val="28"/>
        </w:rPr>
        <w:t xml:space="preserve"> </w:t>
      </w:r>
    </w:p>
    <w:p w:rsidR="00D166A3" w:rsidRPr="00D166A3" w:rsidRDefault="00D166A3" w:rsidP="002F52DA">
      <w:pPr>
        <w:pStyle w:val="Heading3"/>
      </w:pPr>
      <w:r w:rsidRPr="00D166A3">
        <w:t>Format</w:t>
      </w:r>
      <w:r>
        <w:t xml:space="preserve"> 1 –</w:t>
      </w:r>
      <w:r w:rsidR="002F52DA">
        <w:t xml:space="preserve"> </w:t>
      </w:r>
      <w:r>
        <w:t>Sorted by Contaminant</w:t>
      </w:r>
    </w:p>
    <w:tbl>
      <w:tblPr>
        <w:tblStyle w:val="TableGrid"/>
        <w:tblW w:w="5000" w:type="pct"/>
        <w:tblLook w:val="04A0" w:firstRow="1" w:lastRow="0" w:firstColumn="1" w:lastColumn="0" w:noHBand="0" w:noVBand="1"/>
        <w:tblDescription w:val="This Table D-2a: Suggested Format for a Source Summary Table contains fourteen columns and one row header. It contains no data, and serves to present the format suggested. The first column contains the name of the contaminant that is to be modelled, and the second column contains the corresponding CAS number of the contaminant. The third column contains the identification code of the source, and the fourth column contains the source’s description. The fifth to tenth columns contain the volumetric flow rate, exit gas temperature, diameter, height above grade, height above roof, and coordinates respectively, of the corresponding source being modelled. The eleventh to fourteenth columns contain emissions information for the source being modelled, and include the maximum emission rate, the averaging time period, the technique used to estimate the emissions, and the level of data quality used in estimating the emissions"/>
      </w:tblPr>
      <w:tblGrid>
        <w:gridCol w:w="1273"/>
        <w:gridCol w:w="636"/>
        <w:gridCol w:w="955"/>
        <w:gridCol w:w="1274"/>
        <w:gridCol w:w="1113"/>
        <w:gridCol w:w="1274"/>
        <w:gridCol w:w="1113"/>
        <w:gridCol w:w="955"/>
        <w:gridCol w:w="794"/>
        <w:gridCol w:w="1274"/>
        <w:gridCol w:w="1113"/>
        <w:gridCol w:w="1113"/>
        <w:gridCol w:w="1113"/>
        <w:gridCol w:w="1274"/>
        <w:gridCol w:w="1113"/>
        <w:gridCol w:w="1109"/>
      </w:tblGrid>
      <w:tr w:rsidR="00DD081C" w:rsidTr="00077125">
        <w:trPr>
          <w:tblHeader/>
        </w:trPr>
        <w:tc>
          <w:tcPr>
            <w:tcW w:w="364" w:type="pct"/>
            <w:shd w:val="clear" w:color="auto" w:fill="D9D9D9" w:themeFill="background1" w:themeFillShade="D9"/>
          </w:tcPr>
          <w:p w:rsidR="00F0547E" w:rsidRPr="0096011B" w:rsidRDefault="009D45EC" w:rsidP="006C2745">
            <w:pPr>
              <w:contextualSpacing/>
              <w:rPr>
                <w:rFonts w:cs="Arial"/>
                <w:sz w:val="16"/>
                <w:szCs w:val="16"/>
              </w:rPr>
            </w:pPr>
            <w:r w:rsidRPr="009D45EC">
              <w:rPr>
                <w:sz w:val="28"/>
                <w:szCs w:val="28"/>
              </w:rPr>
              <w:t xml:space="preserve"> </w:t>
            </w:r>
            <w:r w:rsidR="00F0547E" w:rsidRPr="0096011B">
              <w:rPr>
                <w:rFonts w:cs="Arial"/>
                <w:sz w:val="16"/>
                <w:szCs w:val="16"/>
              </w:rPr>
              <w:t>Contaminant</w:t>
            </w:r>
          </w:p>
        </w:tc>
        <w:tc>
          <w:tcPr>
            <w:tcW w:w="182"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CAS #</w:t>
            </w:r>
          </w:p>
          <w:p w:rsidR="00F0547E" w:rsidRPr="0096011B" w:rsidRDefault="00F0547E" w:rsidP="006C2745">
            <w:pPr>
              <w:contextualSpacing/>
              <w:rPr>
                <w:rFonts w:cs="Arial"/>
                <w:sz w:val="16"/>
                <w:szCs w:val="16"/>
              </w:rPr>
            </w:pPr>
          </w:p>
        </w:tc>
        <w:tc>
          <w:tcPr>
            <w:tcW w:w="273"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Source ID</w:t>
            </w:r>
          </w:p>
        </w:tc>
        <w:tc>
          <w:tcPr>
            <w:tcW w:w="364"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Source Description</w:t>
            </w:r>
          </w:p>
        </w:tc>
        <w:tc>
          <w:tcPr>
            <w:tcW w:w="318"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Stack Volumetric Flow Rate</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(Am</w:t>
            </w:r>
            <w:r w:rsidRPr="0096011B">
              <w:rPr>
                <w:rFonts w:cs="Arial"/>
                <w:sz w:val="16"/>
                <w:szCs w:val="16"/>
                <w:vertAlign w:val="superscript"/>
              </w:rPr>
              <w:t>3</w:t>
            </w:r>
            <w:r w:rsidRPr="0096011B">
              <w:rPr>
                <w:rFonts w:cs="Arial"/>
                <w:sz w:val="16"/>
                <w:szCs w:val="16"/>
              </w:rPr>
              <w:t>/s)</w:t>
            </w:r>
          </w:p>
        </w:tc>
        <w:tc>
          <w:tcPr>
            <w:tcW w:w="364"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Stack Exit Gas Temperature</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w:t>
            </w:r>
            <w:proofErr w:type="spellStart"/>
            <w:r w:rsidRPr="0096011B">
              <w:rPr>
                <w:rFonts w:cs="Arial"/>
                <w:sz w:val="16"/>
                <w:szCs w:val="16"/>
                <w:vertAlign w:val="superscript"/>
              </w:rPr>
              <w:t>o</w:t>
            </w:r>
            <w:r w:rsidRPr="0096011B">
              <w:rPr>
                <w:rFonts w:cs="Arial"/>
                <w:sz w:val="16"/>
                <w:szCs w:val="16"/>
              </w:rPr>
              <w:t>C</w:t>
            </w:r>
            <w:proofErr w:type="spellEnd"/>
            <w:r w:rsidRPr="0096011B">
              <w:rPr>
                <w:rFonts w:cs="Arial"/>
                <w:sz w:val="16"/>
                <w:szCs w:val="16"/>
              </w:rPr>
              <w:t>)</w:t>
            </w:r>
          </w:p>
        </w:tc>
        <w:tc>
          <w:tcPr>
            <w:tcW w:w="318"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Stack</w:t>
            </w:r>
          </w:p>
          <w:p w:rsidR="00F0547E" w:rsidRPr="0096011B" w:rsidRDefault="00F0547E" w:rsidP="006C2745">
            <w:pPr>
              <w:contextualSpacing/>
              <w:jc w:val="center"/>
              <w:rPr>
                <w:rFonts w:cs="Arial"/>
                <w:sz w:val="16"/>
                <w:szCs w:val="16"/>
              </w:rPr>
            </w:pPr>
            <w:r w:rsidRPr="0096011B">
              <w:rPr>
                <w:rFonts w:cs="Arial"/>
                <w:sz w:val="16"/>
                <w:szCs w:val="16"/>
              </w:rPr>
              <w:t>Inner</w:t>
            </w:r>
          </w:p>
          <w:p w:rsidR="00F0547E" w:rsidRPr="0096011B" w:rsidRDefault="00F0547E" w:rsidP="006C2745">
            <w:pPr>
              <w:contextualSpacing/>
              <w:jc w:val="center"/>
              <w:rPr>
                <w:rFonts w:cs="Arial"/>
                <w:sz w:val="16"/>
                <w:szCs w:val="16"/>
              </w:rPr>
            </w:pPr>
            <w:r w:rsidRPr="0096011B">
              <w:rPr>
                <w:rFonts w:cs="Arial"/>
                <w:sz w:val="16"/>
                <w:szCs w:val="16"/>
              </w:rPr>
              <w:t>Diameter</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(m)</w:t>
            </w:r>
          </w:p>
        </w:tc>
        <w:tc>
          <w:tcPr>
            <w:tcW w:w="273"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Stack Height Above Grade</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(m)</w:t>
            </w:r>
          </w:p>
        </w:tc>
        <w:tc>
          <w:tcPr>
            <w:tcW w:w="227"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Stack Height Above Roof (m)</w:t>
            </w:r>
          </w:p>
        </w:tc>
        <w:tc>
          <w:tcPr>
            <w:tcW w:w="364" w:type="pct"/>
            <w:shd w:val="clear" w:color="auto" w:fill="D9D9D9" w:themeFill="background1" w:themeFillShade="D9"/>
          </w:tcPr>
          <w:p w:rsidR="00F0547E" w:rsidRPr="0096011B" w:rsidRDefault="00F0547E" w:rsidP="006C2745">
            <w:pPr>
              <w:contextualSpacing/>
              <w:jc w:val="center"/>
              <w:rPr>
                <w:rFonts w:cs="Arial"/>
                <w:sz w:val="16"/>
                <w:szCs w:val="16"/>
                <w:lang w:val="fr-CA"/>
              </w:rPr>
            </w:pPr>
            <w:r w:rsidRPr="0096011B">
              <w:rPr>
                <w:rFonts w:cs="Arial"/>
                <w:sz w:val="16"/>
                <w:szCs w:val="16"/>
                <w:lang w:val="fr-CA"/>
              </w:rPr>
              <w:t xml:space="preserve">Source </w:t>
            </w:r>
            <w:proofErr w:type="spellStart"/>
            <w:r w:rsidRPr="0096011B">
              <w:rPr>
                <w:rFonts w:cs="Arial"/>
                <w:sz w:val="16"/>
                <w:szCs w:val="16"/>
                <w:lang w:val="fr-CA"/>
              </w:rPr>
              <w:t>Coordinates</w:t>
            </w:r>
            <w:proofErr w:type="spellEnd"/>
          </w:p>
          <w:p w:rsidR="00F0547E" w:rsidRPr="0096011B" w:rsidRDefault="00F0547E" w:rsidP="006C2745">
            <w:pPr>
              <w:contextualSpacing/>
              <w:jc w:val="center"/>
              <w:rPr>
                <w:rFonts w:cs="Arial"/>
                <w:sz w:val="16"/>
                <w:szCs w:val="16"/>
                <w:lang w:val="fr-CA"/>
              </w:rPr>
            </w:pPr>
            <w:r w:rsidRPr="0096011B">
              <w:rPr>
                <w:rFonts w:cs="Arial"/>
                <w:sz w:val="16"/>
                <w:szCs w:val="16"/>
                <w:lang w:val="fr-CA"/>
              </w:rPr>
              <w:t>(</w:t>
            </w:r>
            <w:proofErr w:type="spellStart"/>
            <w:r w:rsidRPr="0096011B">
              <w:rPr>
                <w:rFonts w:cs="Arial"/>
                <w:sz w:val="16"/>
                <w:szCs w:val="16"/>
                <w:lang w:val="fr-CA"/>
              </w:rPr>
              <w:t>x</w:t>
            </w:r>
            <w:proofErr w:type="gramStart"/>
            <w:r w:rsidRPr="0096011B">
              <w:rPr>
                <w:rFonts w:cs="Arial"/>
                <w:sz w:val="16"/>
                <w:szCs w:val="16"/>
                <w:lang w:val="fr-CA"/>
              </w:rPr>
              <w:t>,y</w:t>
            </w:r>
            <w:proofErr w:type="spellEnd"/>
            <w:proofErr w:type="gramEnd"/>
            <w:r w:rsidRPr="0096011B">
              <w:rPr>
                <w:rFonts w:cs="Arial"/>
                <w:sz w:val="16"/>
                <w:szCs w:val="16"/>
                <w:lang w:val="fr-CA"/>
              </w:rPr>
              <w:t>)</w:t>
            </w:r>
          </w:p>
          <w:p w:rsidR="00F0547E" w:rsidRPr="0096011B" w:rsidRDefault="00F0547E" w:rsidP="006C2745">
            <w:pPr>
              <w:autoSpaceDE w:val="0"/>
              <w:autoSpaceDN w:val="0"/>
              <w:adjustRightInd w:val="0"/>
              <w:contextualSpacing/>
              <w:jc w:val="center"/>
              <w:rPr>
                <w:rFonts w:cs="Arial"/>
                <w:sz w:val="16"/>
                <w:szCs w:val="16"/>
                <w:lang w:val="fr-CA"/>
              </w:rPr>
            </w:pPr>
            <w:r w:rsidRPr="0096011B">
              <w:rPr>
                <w:rFonts w:cs="Arial"/>
                <w:sz w:val="16"/>
                <w:szCs w:val="16"/>
                <w:lang w:val="fr-CA"/>
              </w:rPr>
              <w:t>(m)</w:t>
            </w:r>
          </w:p>
        </w:tc>
        <w:tc>
          <w:tcPr>
            <w:tcW w:w="318"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Maximum Emission Rate</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(g/s)</w:t>
            </w:r>
          </w:p>
        </w:tc>
        <w:tc>
          <w:tcPr>
            <w:tcW w:w="318" w:type="pct"/>
            <w:shd w:val="clear" w:color="auto" w:fill="D9D9D9" w:themeFill="background1" w:themeFillShade="D9"/>
          </w:tcPr>
          <w:p w:rsidR="00F0547E" w:rsidRPr="0096011B" w:rsidRDefault="00F0547E" w:rsidP="006C2745">
            <w:pPr>
              <w:contextualSpacing/>
              <w:jc w:val="center"/>
              <w:rPr>
                <w:rFonts w:cs="Arial"/>
                <w:sz w:val="16"/>
                <w:szCs w:val="16"/>
              </w:rPr>
            </w:pPr>
            <w:r w:rsidRPr="0096011B">
              <w:rPr>
                <w:rFonts w:cs="Arial"/>
                <w:sz w:val="16"/>
                <w:szCs w:val="16"/>
              </w:rPr>
              <w:t>Averaging Period</w:t>
            </w:r>
          </w:p>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(hours)</w:t>
            </w:r>
          </w:p>
        </w:tc>
        <w:tc>
          <w:tcPr>
            <w:tcW w:w="318"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 xml:space="preserve">Emission </w:t>
            </w:r>
            <w:r w:rsidR="00DD081C">
              <w:rPr>
                <w:rFonts w:cs="Arial"/>
                <w:sz w:val="16"/>
                <w:szCs w:val="16"/>
              </w:rPr>
              <w:t>R</w:t>
            </w:r>
            <w:r w:rsidRPr="0096011B">
              <w:rPr>
                <w:rFonts w:cs="Arial"/>
                <w:sz w:val="16"/>
                <w:szCs w:val="16"/>
              </w:rPr>
              <w:t xml:space="preserve">ate </w:t>
            </w:r>
            <w:r w:rsidR="00DD081C">
              <w:rPr>
                <w:rFonts w:cs="Arial"/>
                <w:sz w:val="16"/>
                <w:szCs w:val="16"/>
              </w:rPr>
              <w:t>E</w:t>
            </w:r>
            <w:r w:rsidRPr="0096011B">
              <w:rPr>
                <w:rFonts w:cs="Arial"/>
                <w:sz w:val="16"/>
                <w:szCs w:val="16"/>
              </w:rPr>
              <w:t>stimating Technique</w:t>
            </w:r>
          </w:p>
        </w:tc>
        <w:tc>
          <w:tcPr>
            <w:tcW w:w="364"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Sample Calculation Identifier</w:t>
            </w:r>
          </w:p>
        </w:tc>
        <w:tc>
          <w:tcPr>
            <w:tcW w:w="318"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Emissions Data Quality</w:t>
            </w:r>
          </w:p>
        </w:tc>
        <w:tc>
          <w:tcPr>
            <w:tcW w:w="318" w:type="pct"/>
            <w:shd w:val="clear" w:color="auto" w:fill="D9D9D9" w:themeFill="background1" w:themeFillShade="D9"/>
          </w:tcPr>
          <w:p w:rsidR="00F0547E" w:rsidRPr="0096011B" w:rsidRDefault="00F0547E" w:rsidP="006C2745">
            <w:pPr>
              <w:autoSpaceDE w:val="0"/>
              <w:autoSpaceDN w:val="0"/>
              <w:adjustRightInd w:val="0"/>
              <w:contextualSpacing/>
              <w:jc w:val="center"/>
              <w:rPr>
                <w:rFonts w:cs="Arial"/>
                <w:sz w:val="16"/>
                <w:szCs w:val="16"/>
              </w:rPr>
            </w:pPr>
            <w:r w:rsidRPr="0096011B">
              <w:rPr>
                <w:rFonts w:cs="Arial"/>
                <w:sz w:val="16"/>
                <w:szCs w:val="16"/>
              </w:rPr>
              <w:t>% of Overall Emissions (%)</w:t>
            </w:r>
          </w:p>
        </w:tc>
      </w:tr>
      <w:tr w:rsidR="00DD081C" w:rsidTr="00077125">
        <w:trPr>
          <w:tblHeader/>
        </w:trPr>
        <w:tc>
          <w:tcPr>
            <w:tcW w:w="364" w:type="pct"/>
          </w:tcPr>
          <w:p w:rsidR="00F0547E" w:rsidRDefault="00F0547E" w:rsidP="006C2745">
            <w:pPr>
              <w:rPr>
                <w:rFonts w:cs="Arial"/>
                <w:sz w:val="22"/>
              </w:rPr>
            </w:pPr>
          </w:p>
        </w:tc>
        <w:tc>
          <w:tcPr>
            <w:tcW w:w="182"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rPr>
                <w:rFonts w:cs="Arial"/>
                <w:sz w:val="22"/>
              </w:rPr>
            </w:pPr>
          </w:p>
        </w:tc>
        <w:tc>
          <w:tcPr>
            <w:tcW w:w="182"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rPr>
                <w:rFonts w:cs="Arial"/>
                <w:sz w:val="22"/>
              </w:rPr>
            </w:pPr>
          </w:p>
        </w:tc>
        <w:tc>
          <w:tcPr>
            <w:tcW w:w="182"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rPr>
                <w:rFonts w:cs="Arial"/>
                <w:sz w:val="22"/>
              </w:rPr>
            </w:pPr>
          </w:p>
        </w:tc>
        <w:tc>
          <w:tcPr>
            <w:tcW w:w="182"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rPr>
                <w:rFonts w:cs="Arial"/>
                <w:sz w:val="22"/>
              </w:rPr>
            </w:pPr>
          </w:p>
        </w:tc>
        <w:tc>
          <w:tcPr>
            <w:tcW w:w="182"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rPr>
                <w:rFonts w:cs="Arial"/>
                <w:sz w:val="22"/>
              </w:rPr>
            </w:pPr>
          </w:p>
        </w:tc>
        <w:tc>
          <w:tcPr>
            <w:tcW w:w="182" w:type="pct"/>
          </w:tcPr>
          <w:p w:rsidR="00F0547E" w:rsidRPr="000A2B43" w:rsidRDefault="00F0547E" w:rsidP="006C2745">
            <w:pPr>
              <w:rPr>
                <w:rFonts w:cs="Arial"/>
                <w:sz w:val="22"/>
              </w:rPr>
            </w:pPr>
          </w:p>
        </w:tc>
        <w:tc>
          <w:tcPr>
            <w:tcW w:w="273"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273" w:type="pct"/>
          </w:tcPr>
          <w:p w:rsidR="00F0547E" w:rsidRDefault="00F0547E" w:rsidP="006C2745">
            <w:pPr>
              <w:rPr>
                <w:rFonts w:cs="Arial"/>
                <w:sz w:val="22"/>
              </w:rPr>
            </w:pPr>
          </w:p>
        </w:tc>
        <w:tc>
          <w:tcPr>
            <w:tcW w:w="227"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64" w:type="pct"/>
          </w:tcPr>
          <w:p w:rsidR="00F0547E" w:rsidRDefault="00F0547E" w:rsidP="006C2745">
            <w:pPr>
              <w:rPr>
                <w:rFonts w:cs="Arial"/>
                <w:sz w:val="22"/>
              </w:rPr>
            </w:pPr>
          </w:p>
        </w:tc>
        <w:tc>
          <w:tcPr>
            <w:tcW w:w="318" w:type="pct"/>
          </w:tcPr>
          <w:p w:rsidR="00F0547E" w:rsidRDefault="00F0547E" w:rsidP="006C2745">
            <w:pPr>
              <w:rPr>
                <w:rFonts w:cs="Arial"/>
                <w:sz w:val="22"/>
              </w:rPr>
            </w:pPr>
          </w:p>
        </w:tc>
        <w:tc>
          <w:tcPr>
            <w:tcW w:w="318" w:type="pct"/>
          </w:tcPr>
          <w:p w:rsidR="00F0547E" w:rsidRDefault="00F0547E" w:rsidP="006C2745">
            <w:pPr>
              <w:rPr>
                <w:rFonts w:cs="Arial"/>
                <w:sz w:val="22"/>
              </w:rPr>
            </w:pPr>
          </w:p>
        </w:tc>
      </w:tr>
      <w:tr w:rsidR="00DD081C" w:rsidTr="00077125">
        <w:trPr>
          <w:tblHeader/>
        </w:trPr>
        <w:tc>
          <w:tcPr>
            <w:tcW w:w="364" w:type="pct"/>
          </w:tcPr>
          <w:p w:rsidR="00F0547E" w:rsidRDefault="00F0547E" w:rsidP="006C2745">
            <w:pPr>
              <w:spacing w:before="240"/>
              <w:rPr>
                <w:rFonts w:cs="Arial"/>
                <w:sz w:val="22"/>
              </w:rPr>
            </w:pPr>
          </w:p>
        </w:tc>
        <w:tc>
          <w:tcPr>
            <w:tcW w:w="182" w:type="pct"/>
          </w:tcPr>
          <w:p w:rsidR="00F0547E" w:rsidRPr="000A2B43" w:rsidRDefault="00F0547E" w:rsidP="006C2745">
            <w:pPr>
              <w:spacing w:before="240"/>
              <w:rPr>
                <w:rFonts w:cs="Arial"/>
                <w:sz w:val="22"/>
              </w:rPr>
            </w:pPr>
          </w:p>
        </w:tc>
        <w:tc>
          <w:tcPr>
            <w:tcW w:w="273" w:type="pct"/>
          </w:tcPr>
          <w:p w:rsidR="00F0547E" w:rsidRDefault="00F0547E" w:rsidP="006C2745">
            <w:pPr>
              <w:spacing w:before="240"/>
              <w:rPr>
                <w:rFonts w:cs="Arial"/>
                <w:sz w:val="22"/>
              </w:rPr>
            </w:pPr>
          </w:p>
        </w:tc>
        <w:tc>
          <w:tcPr>
            <w:tcW w:w="364"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364"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273" w:type="pct"/>
          </w:tcPr>
          <w:p w:rsidR="00F0547E" w:rsidRDefault="00F0547E" w:rsidP="006C2745">
            <w:pPr>
              <w:spacing w:before="240"/>
              <w:rPr>
                <w:rFonts w:cs="Arial"/>
                <w:sz w:val="22"/>
              </w:rPr>
            </w:pPr>
          </w:p>
        </w:tc>
        <w:tc>
          <w:tcPr>
            <w:tcW w:w="227" w:type="pct"/>
          </w:tcPr>
          <w:p w:rsidR="00F0547E" w:rsidRDefault="00F0547E" w:rsidP="006C2745">
            <w:pPr>
              <w:spacing w:before="240"/>
              <w:rPr>
                <w:rFonts w:cs="Arial"/>
                <w:sz w:val="22"/>
              </w:rPr>
            </w:pPr>
          </w:p>
        </w:tc>
        <w:tc>
          <w:tcPr>
            <w:tcW w:w="364"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364"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c>
          <w:tcPr>
            <w:tcW w:w="318" w:type="pct"/>
          </w:tcPr>
          <w:p w:rsidR="00F0547E" w:rsidRDefault="00F0547E" w:rsidP="006C2745">
            <w:pPr>
              <w:spacing w:before="240"/>
              <w:rPr>
                <w:rFonts w:cs="Arial"/>
                <w:sz w:val="22"/>
              </w:rPr>
            </w:pPr>
          </w:p>
        </w:tc>
      </w:tr>
    </w:tbl>
    <w:p w:rsidR="00F201B0" w:rsidRPr="002F52DA" w:rsidRDefault="00F201B0" w:rsidP="006C2745">
      <w:pPr>
        <w:spacing w:before="240"/>
        <w:rPr>
          <w:rFonts w:cs="Arial"/>
          <w:sz w:val="22"/>
          <w:u w:val="single"/>
        </w:rPr>
      </w:pPr>
      <w:r w:rsidRPr="002F52DA">
        <w:rPr>
          <w:rFonts w:cs="Arial"/>
          <w:sz w:val="22"/>
          <w:u w:val="single"/>
        </w:rPr>
        <w:t>Notes for Table</w:t>
      </w:r>
      <w:r w:rsidRPr="002F52DA">
        <w:rPr>
          <w:sz w:val="22"/>
          <w:u w:val="single"/>
        </w:rPr>
        <w:t xml:space="preserve"> </w:t>
      </w:r>
      <w:r w:rsidRPr="002F52DA">
        <w:rPr>
          <w:rFonts w:cs="Arial"/>
          <w:sz w:val="22"/>
          <w:u w:val="single"/>
        </w:rPr>
        <w:t>D-2a: Suggested Format for a Source Summary Table:</w:t>
      </w:r>
    </w:p>
    <w:p w:rsidR="00F201B0" w:rsidRPr="00B5646F" w:rsidRDefault="00F201B0" w:rsidP="00F201B0">
      <w:pPr>
        <w:numPr>
          <w:ilvl w:val="0"/>
          <w:numId w:val="1"/>
        </w:numPr>
        <w:spacing w:after="0" w:line="240" w:lineRule="auto"/>
        <w:rPr>
          <w:rFonts w:cs="Arial"/>
          <w:sz w:val="22"/>
          <w:u w:val="single"/>
        </w:rPr>
      </w:pPr>
      <w:r w:rsidRPr="00B5646F">
        <w:rPr>
          <w:rFonts w:cs="Arial"/>
          <w:sz w:val="22"/>
          <w:u w:val="single"/>
        </w:rPr>
        <w:t xml:space="preserve">Source ID: </w:t>
      </w:r>
      <w:r w:rsidRPr="00B5646F">
        <w:rPr>
          <w:rFonts w:cs="Arial"/>
          <w:sz w:val="22"/>
        </w:rPr>
        <w:t xml:space="preserve">should provide information on the modelling source type (e.g., Point, Area or Volume Source); the process source or sources within the modelling source (e.g., Process Line #1); and the stack or stacks within each process </w:t>
      </w:r>
      <w:proofErr w:type="gramStart"/>
      <w:r w:rsidRPr="00B5646F">
        <w:rPr>
          <w:rFonts w:cs="Arial"/>
          <w:sz w:val="22"/>
        </w:rPr>
        <w:t>source .</w:t>
      </w:r>
      <w:proofErr w:type="gramEnd"/>
      <w:r w:rsidRPr="00B5646F">
        <w:rPr>
          <w:rFonts w:cs="Arial"/>
          <w:sz w:val="22"/>
        </w:rPr>
        <w:t xml:space="preserve">  Please ensure the Source IDs match the model input files.  If the Source ID terminology is modified in subsequent ESDM reports, a note to highlight the changes in terminology for each Source ID are to be included for clarity and comparisons.</w:t>
      </w:r>
    </w:p>
    <w:p w:rsidR="00F201B0" w:rsidRPr="00B5646F" w:rsidRDefault="00F201B0" w:rsidP="00F201B0">
      <w:pPr>
        <w:numPr>
          <w:ilvl w:val="0"/>
          <w:numId w:val="1"/>
        </w:numPr>
        <w:spacing w:after="0" w:line="240" w:lineRule="auto"/>
        <w:rPr>
          <w:rFonts w:cs="Arial"/>
          <w:sz w:val="22"/>
        </w:rPr>
      </w:pPr>
      <w:r w:rsidRPr="00B5646F">
        <w:rPr>
          <w:rFonts w:cs="Arial"/>
          <w:sz w:val="22"/>
          <w:u w:val="single"/>
        </w:rPr>
        <w:t>Emission rate estimating Technique Short-Forms:</w:t>
      </w:r>
      <w:r w:rsidRPr="00B5646F">
        <w:rPr>
          <w:rFonts w:cs="Arial"/>
          <w:sz w:val="22"/>
        </w:rPr>
        <w:t xml:space="preserve"> “V-ST” means Validated Source Test;  “ST” means Source Test;   “EF” means Emission Factor;  “MB” means mass balance;  “EC” means engineering calculation</w:t>
      </w:r>
    </w:p>
    <w:p w:rsidR="00F201B0" w:rsidRPr="00B5646F" w:rsidRDefault="00F201B0" w:rsidP="00F201B0">
      <w:pPr>
        <w:numPr>
          <w:ilvl w:val="0"/>
          <w:numId w:val="1"/>
        </w:numPr>
        <w:spacing w:after="0" w:line="240" w:lineRule="auto"/>
        <w:rPr>
          <w:rFonts w:cs="Arial"/>
          <w:sz w:val="22"/>
        </w:rPr>
      </w:pPr>
      <w:r w:rsidRPr="00B5646F">
        <w:rPr>
          <w:rFonts w:cs="Arial"/>
          <w:sz w:val="22"/>
          <w:u w:val="single"/>
        </w:rPr>
        <w:t>Data Quality Categories:</w:t>
      </w:r>
      <w:r w:rsidRPr="00B5646F">
        <w:rPr>
          <w:rFonts w:cs="Arial"/>
          <w:sz w:val="22"/>
        </w:rPr>
        <w:t xml:space="preserve"> Highest; Above-Average; Average; and Marginal.</w:t>
      </w:r>
    </w:p>
    <w:p w:rsidR="00F201B0" w:rsidRPr="00B5646F" w:rsidRDefault="00F201B0" w:rsidP="00F201B0">
      <w:pPr>
        <w:numPr>
          <w:ilvl w:val="0"/>
          <w:numId w:val="1"/>
        </w:numPr>
        <w:spacing w:after="0" w:line="240" w:lineRule="auto"/>
        <w:rPr>
          <w:rFonts w:cs="Arial"/>
          <w:sz w:val="22"/>
        </w:rPr>
      </w:pPr>
      <w:r w:rsidRPr="00B5646F">
        <w:rPr>
          <w:rFonts w:cs="Arial"/>
          <w:sz w:val="22"/>
          <w:u w:val="single"/>
        </w:rPr>
        <w:t>Alternate Table Formats</w:t>
      </w:r>
      <w:r w:rsidRPr="00B5646F">
        <w:rPr>
          <w:rFonts w:cs="Arial"/>
          <w:sz w:val="22"/>
        </w:rPr>
        <w:t>: are acceptable if they provide the information required, under paragraph 8 of subsection 26 (1), of the Regulation, for a source summary table.  In addition, multiple source summary tables can be used. The Source Summary Table should contain sufficient information to correlate the sources with the contaminants.  For site-specific standard requests, the table must be sorted by contaminant.</w:t>
      </w:r>
    </w:p>
    <w:p w:rsidR="00F201B0" w:rsidRPr="00B5646F" w:rsidRDefault="00F201B0" w:rsidP="00F201B0">
      <w:pPr>
        <w:numPr>
          <w:ilvl w:val="0"/>
          <w:numId w:val="1"/>
        </w:numPr>
        <w:spacing w:after="0" w:line="240" w:lineRule="auto"/>
        <w:rPr>
          <w:rFonts w:cs="Arial"/>
          <w:sz w:val="22"/>
        </w:rPr>
      </w:pPr>
      <w:r w:rsidRPr="00B5646F">
        <w:rPr>
          <w:rFonts w:cs="Arial"/>
          <w:sz w:val="22"/>
          <w:u w:val="single"/>
        </w:rPr>
        <w:t>Sample Calculation Identifier</w:t>
      </w:r>
      <w:r w:rsidRPr="00B5646F">
        <w:rPr>
          <w:rFonts w:cs="Arial"/>
          <w:sz w:val="22"/>
        </w:rPr>
        <w:t xml:space="preserve">: Sample calculation for each different source, contaminant or estimation method should be numbered and presented in the Appendix.  It is not necessary to repeat the sample calculation if same approach is used to for multiple source and/or contaminant. </w:t>
      </w:r>
    </w:p>
    <w:p w:rsidR="00F201B0" w:rsidRDefault="00F201B0">
      <w:pPr>
        <w:rPr>
          <w:rFonts w:cs="Arial"/>
          <w:sz w:val="22"/>
        </w:rPr>
      </w:pPr>
      <w:r>
        <w:rPr>
          <w:rFonts w:cs="Arial"/>
          <w:sz w:val="22"/>
        </w:rPr>
        <w:br w:type="page"/>
      </w:r>
    </w:p>
    <w:p w:rsidR="00D166A3" w:rsidRDefault="00D166A3" w:rsidP="006C2745">
      <w:pPr>
        <w:pStyle w:val="Heading2"/>
        <w:spacing w:before="0" w:line="240" w:lineRule="auto"/>
        <w:contextualSpacing/>
        <w:rPr>
          <w:sz w:val="28"/>
          <w:szCs w:val="28"/>
        </w:rPr>
      </w:pPr>
      <w:r w:rsidRPr="009D45EC">
        <w:rPr>
          <w:sz w:val="28"/>
          <w:szCs w:val="28"/>
        </w:rPr>
        <w:lastRenderedPageBreak/>
        <w:t>Table D-</w:t>
      </w:r>
      <w:r>
        <w:rPr>
          <w:sz w:val="28"/>
          <w:szCs w:val="28"/>
        </w:rPr>
        <w:t>2b</w:t>
      </w:r>
      <w:r w:rsidRPr="009D45EC">
        <w:rPr>
          <w:sz w:val="28"/>
          <w:szCs w:val="28"/>
        </w:rPr>
        <w:t>: Suggested Format for a Source Summary Table</w:t>
      </w:r>
    </w:p>
    <w:p w:rsidR="00D166A3" w:rsidRPr="002F52DA" w:rsidRDefault="00D166A3" w:rsidP="002F52DA">
      <w:pPr>
        <w:pStyle w:val="Heading3"/>
      </w:pPr>
      <w:r w:rsidRPr="002F52DA">
        <w:t xml:space="preserve">Format 2 – Sorted by Source </w:t>
      </w:r>
    </w:p>
    <w:tbl>
      <w:tblPr>
        <w:tblStyle w:val="TableGrid"/>
        <w:tblW w:w="5000" w:type="pct"/>
        <w:tblLook w:val="04A0" w:firstRow="1" w:lastRow="0" w:firstColumn="1" w:lastColumn="0" w:noHBand="0" w:noVBand="1"/>
        <w:tblDescription w:val="This Table D-2b: Suggested Format for a Source Summary Table contains fourteen columns and one row header. It contains no data, and serves to present the format suggested. The first column contains the identification code of the source,  and the second column contains the sources's description.  The third  to eighth columns contain the volumetric flow rate, exit gas temperature, diameter, height above grade, height above roof, and coordinates respectively, of the corresponding source being modelled. Theninth and tentth columns contain the name of the contaminant that is to be modelled, and corresponding CAS number of the contaminant.  The eleventh to fourteenth columns contain emissions information for the source being modelled, and include the maximum emission rate, the averaging time period, the technique used to estimate the emissions, and the level of data quality used in estimating the emissions.&#10;"/>
      </w:tblPr>
      <w:tblGrid>
        <w:gridCol w:w="954"/>
        <w:gridCol w:w="1273"/>
        <w:gridCol w:w="1113"/>
        <w:gridCol w:w="1274"/>
        <w:gridCol w:w="1113"/>
        <w:gridCol w:w="794"/>
        <w:gridCol w:w="794"/>
        <w:gridCol w:w="1274"/>
        <w:gridCol w:w="1274"/>
        <w:gridCol w:w="637"/>
        <w:gridCol w:w="1274"/>
        <w:gridCol w:w="1113"/>
        <w:gridCol w:w="1113"/>
        <w:gridCol w:w="1274"/>
        <w:gridCol w:w="1113"/>
        <w:gridCol w:w="1109"/>
      </w:tblGrid>
      <w:tr w:rsidR="008E21DD" w:rsidTr="00077125">
        <w:trPr>
          <w:tblHeader/>
        </w:trPr>
        <w:tc>
          <w:tcPr>
            <w:tcW w:w="273" w:type="pct"/>
            <w:shd w:val="clear" w:color="auto" w:fill="D9D9D9" w:themeFill="background1" w:themeFillShade="D9"/>
          </w:tcPr>
          <w:p w:rsidR="008E21DD" w:rsidRPr="0096011B" w:rsidRDefault="008E21DD" w:rsidP="00D007C1">
            <w:pPr>
              <w:rPr>
                <w:rFonts w:cs="Arial"/>
                <w:sz w:val="16"/>
                <w:szCs w:val="16"/>
              </w:rPr>
            </w:pPr>
            <w:r w:rsidRPr="009D45EC">
              <w:rPr>
                <w:sz w:val="28"/>
                <w:szCs w:val="28"/>
              </w:rPr>
              <w:t xml:space="preserve"> </w:t>
            </w:r>
            <w:r>
              <w:rPr>
                <w:rFonts w:cs="Arial"/>
                <w:sz w:val="16"/>
                <w:szCs w:val="16"/>
              </w:rPr>
              <w:t>Source Identifier</w:t>
            </w:r>
          </w:p>
        </w:tc>
        <w:tc>
          <w:tcPr>
            <w:tcW w:w="364"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Source Description</w:t>
            </w:r>
          </w:p>
        </w:tc>
        <w:tc>
          <w:tcPr>
            <w:tcW w:w="318" w:type="pct"/>
            <w:shd w:val="clear" w:color="auto" w:fill="D9D9D9" w:themeFill="background1" w:themeFillShade="D9"/>
          </w:tcPr>
          <w:p w:rsidR="008E21DD" w:rsidRPr="0096011B" w:rsidRDefault="008E21DD" w:rsidP="00E17B6D">
            <w:pPr>
              <w:autoSpaceDE w:val="0"/>
              <w:autoSpaceDN w:val="0"/>
              <w:adjustRightInd w:val="0"/>
              <w:jc w:val="center"/>
              <w:rPr>
                <w:rFonts w:cs="Arial"/>
                <w:sz w:val="16"/>
                <w:szCs w:val="16"/>
              </w:rPr>
            </w:pPr>
            <w:r w:rsidRPr="0096011B">
              <w:rPr>
                <w:rFonts w:cs="Arial"/>
                <w:sz w:val="16"/>
                <w:szCs w:val="16"/>
              </w:rPr>
              <w:t>Stack Volumetric Flow Rate</w:t>
            </w:r>
            <w:r w:rsidR="00E17B6D">
              <w:rPr>
                <w:rFonts w:cs="Arial"/>
                <w:sz w:val="16"/>
                <w:szCs w:val="16"/>
              </w:rPr>
              <w:t xml:space="preserve"> </w:t>
            </w:r>
            <w:r w:rsidRPr="0096011B">
              <w:rPr>
                <w:rFonts w:cs="Arial"/>
                <w:sz w:val="16"/>
                <w:szCs w:val="16"/>
              </w:rPr>
              <w:t>(Am</w:t>
            </w:r>
            <w:r w:rsidRPr="0096011B">
              <w:rPr>
                <w:rFonts w:cs="Arial"/>
                <w:sz w:val="16"/>
                <w:szCs w:val="16"/>
                <w:vertAlign w:val="superscript"/>
              </w:rPr>
              <w:t>3</w:t>
            </w:r>
            <w:r w:rsidRPr="0096011B">
              <w:rPr>
                <w:rFonts w:cs="Arial"/>
                <w:sz w:val="16"/>
                <w:szCs w:val="16"/>
              </w:rPr>
              <w:t>/s)</w:t>
            </w:r>
          </w:p>
        </w:tc>
        <w:tc>
          <w:tcPr>
            <w:tcW w:w="364" w:type="pct"/>
            <w:shd w:val="clear" w:color="auto" w:fill="D9D9D9" w:themeFill="background1" w:themeFillShade="D9"/>
          </w:tcPr>
          <w:p w:rsidR="008E21DD" w:rsidRPr="0096011B" w:rsidRDefault="008E21DD" w:rsidP="00E17B6D">
            <w:pPr>
              <w:jc w:val="center"/>
              <w:rPr>
                <w:rFonts w:cs="Arial"/>
                <w:sz w:val="16"/>
                <w:szCs w:val="16"/>
              </w:rPr>
            </w:pPr>
            <w:r w:rsidRPr="0096011B">
              <w:rPr>
                <w:rFonts w:cs="Arial"/>
                <w:sz w:val="16"/>
                <w:szCs w:val="16"/>
              </w:rPr>
              <w:t>Stack Exit Gas Temperature</w:t>
            </w:r>
            <w:r w:rsidR="00E17B6D">
              <w:rPr>
                <w:rFonts w:cs="Arial"/>
                <w:sz w:val="16"/>
                <w:szCs w:val="16"/>
              </w:rPr>
              <w:t xml:space="preserve"> </w:t>
            </w:r>
            <w:r w:rsidRPr="0096011B">
              <w:rPr>
                <w:rFonts w:cs="Arial"/>
                <w:sz w:val="16"/>
                <w:szCs w:val="16"/>
              </w:rPr>
              <w:t>(</w:t>
            </w:r>
            <w:proofErr w:type="spellStart"/>
            <w:r w:rsidRPr="0096011B">
              <w:rPr>
                <w:rFonts w:cs="Arial"/>
                <w:sz w:val="16"/>
                <w:szCs w:val="16"/>
                <w:vertAlign w:val="superscript"/>
              </w:rPr>
              <w:t>o</w:t>
            </w:r>
            <w:r w:rsidRPr="0096011B">
              <w:rPr>
                <w:rFonts w:cs="Arial"/>
                <w:sz w:val="16"/>
                <w:szCs w:val="16"/>
              </w:rPr>
              <w:t>C</w:t>
            </w:r>
            <w:proofErr w:type="spellEnd"/>
            <w:r w:rsidRPr="0096011B">
              <w:rPr>
                <w:rFonts w:cs="Arial"/>
                <w:sz w:val="16"/>
                <w:szCs w:val="16"/>
              </w:rPr>
              <w:t>)</w:t>
            </w:r>
          </w:p>
        </w:tc>
        <w:tc>
          <w:tcPr>
            <w:tcW w:w="318" w:type="pct"/>
            <w:shd w:val="clear" w:color="auto" w:fill="D9D9D9" w:themeFill="background1" w:themeFillShade="D9"/>
          </w:tcPr>
          <w:p w:rsidR="008E21DD" w:rsidRPr="0096011B" w:rsidRDefault="008E21DD" w:rsidP="00E17B6D">
            <w:pPr>
              <w:jc w:val="center"/>
              <w:rPr>
                <w:rFonts w:cs="Arial"/>
                <w:sz w:val="16"/>
                <w:szCs w:val="16"/>
              </w:rPr>
            </w:pPr>
            <w:r w:rsidRPr="0096011B">
              <w:rPr>
                <w:rFonts w:cs="Arial"/>
                <w:sz w:val="16"/>
                <w:szCs w:val="16"/>
              </w:rPr>
              <w:t>Stack</w:t>
            </w:r>
            <w:r w:rsidR="00E17B6D">
              <w:rPr>
                <w:rFonts w:cs="Arial"/>
                <w:sz w:val="16"/>
                <w:szCs w:val="16"/>
              </w:rPr>
              <w:t xml:space="preserve"> </w:t>
            </w:r>
            <w:r w:rsidRPr="0096011B">
              <w:rPr>
                <w:rFonts w:cs="Arial"/>
                <w:sz w:val="16"/>
                <w:szCs w:val="16"/>
              </w:rPr>
              <w:t>Inner</w:t>
            </w:r>
            <w:r w:rsidR="00E17B6D">
              <w:rPr>
                <w:rFonts w:cs="Arial"/>
                <w:sz w:val="16"/>
                <w:szCs w:val="16"/>
              </w:rPr>
              <w:t xml:space="preserve"> </w:t>
            </w:r>
            <w:r w:rsidRPr="0096011B">
              <w:rPr>
                <w:rFonts w:cs="Arial"/>
                <w:sz w:val="16"/>
                <w:szCs w:val="16"/>
              </w:rPr>
              <w:t>Diameter</w:t>
            </w:r>
            <w:r w:rsidR="00E17B6D">
              <w:rPr>
                <w:rFonts w:cs="Arial"/>
                <w:sz w:val="16"/>
                <w:szCs w:val="16"/>
              </w:rPr>
              <w:t xml:space="preserve"> </w:t>
            </w:r>
            <w:r w:rsidRPr="0096011B">
              <w:rPr>
                <w:rFonts w:cs="Arial"/>
                <w:sz w:val="16"/>
                <w:szCs w:val="16"/>
              </w:rPr>
              <w:t>(m)</w:t>
            </w:r>
          </w:p>
        </w:tc>
        <w:tc>
          <w:tcPr>
            <w:tcW w:w="227" w:type="pct"/>
            <w:shd w:val="clear" w:color="auto" w:fill="D9D9D9" w:themeFill="background1" w:themeFillShade="D9"/>
          </w:tcPr>
          <w:p w:rsidR="008E21DD" w:rsidRPr="0096011B" w:rsidRDefault="008E21DD" w:rsidP="00E17B6D">
            <w:pPr>
              <w:jc w:val="center"/>
              <w:rPr>
                <w:rFonts w:cs="Arial"/>
                <w:sz w:val="16"/>
                <w:szCs w:val="16"/>
              </w:rPr>
            </w:pPr>
            <w:r w:rsidRPr="0096011B">
              <w:rPr>
                <w:rFonts w:cs="Arial"/>
                <w:sz w:val="16"/>
                <w:szCs w:val="16"/>
              </w:rPr>
              <w:t>Stack Height Above Grade</w:t>
            </w:r>
            <w:r w:rsidR="00E17B6D">
              <w:rPr>
                <w:rFonts w:cs="Arial"/>
                <w:sz w:val="16"/>
                <w:szCs w:val="16"/>
              </w:rPr>
              <w:t xml:space="preserve"> </w:t>
            </w:r>
            <w:r w:rsidRPr="0096011B">
              <w:rPr>
                <w:rFonts w:cs="Arial"/>
                <w:sz w:val="16"/>
                <w:szCs w:val="16"/>
              </w:rPr>
              <w:t>(m)</w:t>
            </w:r>
          </w:p>
        </w:tc>
        <w:tc>
          <w:tcPr>
            <w:tcW w:w="227"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Stack Height Above Roof (m)</w:t>
            </w:r>
          </w:p>
        </w:tc>
        <w:tc>
          <w:tcPr>
            <w:tcW w:w="364" w:type="pct"/>
            <w:shd w:val="clear" w:color="auto" w:fill="D9D9D9" w:themeFill="background1" w:themeFillShade="D9"/>
          </w:tcPr>
          <w:p w:rsidR="008E21DD" w:rsidRPr="0096011B" w:rsidRDefault="008E21DD" w:rsidP="00E17B6D">
            <w:pPr>
              <w:jc w:val="center"/>
              <w:rPr>
                <w:rFonts w:cs="Arial"/>
                <w:sz w:val="16"/>
                <w:szCs w:val="16"/>
                <w:lang w:val="fr-CA"/>
              </w:rPr>
            </w:pPr>
            <w:r w:rsidRPr="0096011B">
              <w:rPr>
                <w:rFonts w:cs="Arial"/>
                <w:sz w:val="16"/>
                <w:szCs w:val="16"/>
                <w:lang w:val="fr-CA"/>
              </w:rPr>
              <w:t xml:space="preserve">Source </w:t>
            </w:r>
            <w:proofErr w:type="spellStart"/>
            <w:r w:rsidRPr="0096011B">
              <w:rPr>
                <w:rFonts w:cs="Arial"/>
                <w:sz w:val="16"/>
                <w:szCs w:val="16"/>
                <w:lang w:val="fr-CA"/>
              </w:rPr>
              <w:t>Coordinates</w:t>
            </w:r>
            <w:proofErr w:type="spellEnd"/>
            <w:r w:rsidR="00E17B6D">
              <w:rPr>
                <w:rFonts w:cs="Arial"/>
                <w:sz w:val="16"/>
                <w:szCs w:val="16"/>
                <w:lang w:val="fr-CA"/>
              </w:rPr>
              <w:t xml:space="preserve"> </w:t>
            </w:r>
            <w:r w:rsidRPr="0096011B">
              <w:rPr>
                <w:rFonts w:cs="Arial"/>
                <w:sz w:val="16"/>
                <w:szCs w:val="16"/>
                <w:lang w:val="fr-CA"/>
              </w:rPr>
              <w:t>(</w:t>
            </w:r>
            <w:proofErr w:type="spellStart"/>
            <w:r w:rsidRPr="0096011B">
              <w:rPr>
                <w:rFonts w:cs="Arial"/>
                <w:sz w:val="16"/>
                <w:szCs w:val="16"/>
                <w:lang w:val="fr-CA"/>
              </w:rPr>
              <w:t>x</w:t>
            </w:r>
            <w:proofErr w:type="gramStart"/>
            <w:r w:rsidRPr="0096011B">
              <w:rPr>
                <w:rFonts w:cs="Arial"/>
                <w:sz w:val="16"/>
                <w:szCs w:val="16"/>
                <w:lang w:val="fr-CA"/>
              </w:rPr>
              <w:t>,y</w:t>
            </w:r>
            <w:proofErr w:type="spellEnd"/>
            <w:proofErr w:type="gramEnd"/>
            <w:r w:rsidRPr="0096011B">
              <w:rPr>
                <w:rFonts w:cs="Arial"/>
                <w:sz w:val="16"/>
                <w:szCs w:val="16"/>
                <w:lang w:val="fr-CA"/>
              </w:rPr>
              <w:t>)</w:t>
            </w:r>
            <w:r w:rsidR="00E17B6D">
              <w:rPr>
                <w:rFonts w:cs="Arial"/>
                <w:sz w:val="16"/>
                <w:szCs w:val="16"/>
                <w:lang w:val="fr-CA"/>
              </w:rPr>
              <w:t xml:space="preserve"> </w:t>
            </w:r>
            <w:r w:rsidRPr="0096011B">
              <w:rPr>
                <w:rFonts w:cs="Arial"/>
                <w:sz w:val="16"/>
                <w:szCs w:val="16"/>
                <w:lang w:val="fr-CA"/>
              </w:rPr>
              <w:t>(m)</w:t>
            </w:r>
          </w:p>
        </w:tc>
        <w:tc>
          <w:tcPr>
            <w:tcW w:w="364" w:type="pct"/>
            <w:shd w:val="clear" w:color="auto" w:fill="D9D9D9" w:themeFill="background1" w:themeFillShade="D9"/>
          </w:tcPr>
          <w:p w:rsidR="008E21DD" w:rsidRPr="0096011B" w:rsidRDefault="008E21DD" w:rsidP="006157D7">
            <w:pPr>
              <w:jc w:val="center"/>
              <w:rPr>
                <w:rFonts w:cs="Arial"/>
                <w:sz w:val="16"/>
                <w:szCs w:val="16"/>
              </w:rPr>
            </w:pPr>
            <w:r>
              <w:rPr>
                <w:rFonts w:cs="Arial"/>
                <w:sz w:val="16"/>
                <w:szCs w:val="16"/>
              </w:rPr>
              <w:t>Contaminant</w:t>
            </w:r>
          </w:p>
        </w:tc>
        <w:tc>
          <w:tcPr>
            <w:tcW w:w="182" w:type="pct"/>
            <w:shd w:val="clear" w:color="auto" w:fill="D9D9D9" w:themeFill="background1" w:themeFillShade="D9"/>
          </w:tcPr>
          <w:p w:rsidR="008E21DD" w:rsidRPr="0096011B" w:rsidRDefault="008E21DD" w:rsidP="006157D7">
            <w:pPr>
              <w:jc w:val="center"/>
              <w:rPr>
                <w:rFonts w:cs="Arial"/>
                <w:sz w:val="16"/>
                <w:szCs w:val="16"/>
              </w:rPr>
            </w:pPr>
            <w:r>
              <w:rPr>
                <w:rFonts w:cs="Arial"/>
                <w:sz w:val="16"/>
                <w:szCs w:val="16"/>
              </w:rPr>
              <w:t>CAS #</w:t>
            </w:r>
          </w:p>
        </w:tc>
        <w:tc>
          <w:tcPr>
            <w:tcW w:w="364" w:type="pct"/>
            <w:shd w:val="clear" w:color="auto" w:fill="D9D9D9" w:themeFill="background1" w:themeFillShade="D9"/>
          </w:tcPr>
          <w:p w:rsidR="008E21DD" w:rsidRPr="0096011B" w:rsidRDefault="008E21DD" w:rsidP="00E17B6D">
            <w:pPr>
              <w:jc w:val="center"/>
              <w:rPr>
                <w:rFonts w:cs="Arial"/>
                <w:sz w:val="16"/>
                <w:szCs w:val="16"/>
              </w:rPr>
            </w:pPr>
            <w:r w:rsidRPr="0096011B">
              <w:rPr>
                <w:rFonts w:cs="Arial"/>
                <w:sz w:val="16"/>
                <w:szCs w:val="16"/>
              </w:rPr>
              <w:t>Maximum Emission Rate</w:t>
            </w:r>
            <w:r w:rsidR="00E17B6D">
              <w:rPr>
                <w:rFonts w:cs="Arial"/>
                <w:sz w:val="16"/>
                <w:szCs w:val="16"/>
              </w:rPr>
              <w:t xml:space="preserve"> </w:t>
            </w:r>
            <w:r w:rsidRPr="0096011B">
              <w:rPr>
                <w:rFonts w:cs="Arial"/>
                <w:sz w:val="16"/>
                <w:szCs w:val="16"/>
              </w:rPr>
              <w:t>(g/s)</w:t>
            </w:r>
          </w:p>
        </w:tc>
        <w:tc>
          <w:tcPr>
            <w:tcW w:w="318" w:type="pct"/>
            <w:shd w:val="clear" w:color="auto" w:fill="D9D9D9" w:themeFill="background1" w:themeFillShade="D9"/>
          </w:tcPr>
          <w:p w:rsidR="008E21DD" w:rsidRPr="0096011B" w:rsidRDefault="008E21DD" w:rsidP="00E17B6D">
            <w:pPr>
              <w:jc w:val="center"/>
              <w:rPr>
                <w:rFonts w:cs="Arial"/>
                <w:sz w:val="16"/>
                <w:szCs w:val="16"/>
              </w:rPr>
            </w:pPr>
            <w:r w:rsidRPr="0096011B">
              <w:rPr>
                <w:rFonts w:cs="Arial"/>
                <w:sz w:val="16"/>
                <w:szCs w:val="16"/>
              </w:rPr>
              <w:t>Averaging Period</w:t>
            </w:r>
            <w:r w:rsidR="00E17B6D">
              <w:rPr>
                <w:rFonts w:cs="Arial"/>
                <w:sz w:val="16"/>
                <w:szCs w:val="16"/>
              </w:rPr>
              <w:t xml:space="preserve"> </w:t>
            </w:r>
            <w:r w:rsidRPr="0096011B">
              <w:rPr>
                <w:rFonts w:cs="Arial"/>
                <w:sz w:val="16"/>
                <w:szCs w:val="16"/>
              </w:rPr>
              <w:t>(hours)</w:t>
            </w:r>
          </w:p>
        </w:tc>
        <w:tc>
          <w:tcPr>
            <w:tcW w:w="318"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 xml:space="preserve">Emission </w:t>
            </w:r>
            <w:r>
              <w:rPr>
                <w:rFonts w:cs="Arial"/>
                <w:sz w:val="16"/>
                <w:szCs w:val="16"/>
              </w:rPr>
              <w:t>R</w:t>
            </w:r>
            <w:r w:rsidRPr="0096011B">
              <w:rPr>
                <w:rFonts w:cs="Arial"/>
                <w:sz w:val="16"/>
                <w:szCs w:val="16"/>
              </w:rPr>
              <w:t xml:space="preserve">ate </w:t>
            </w:r>
            <w:r>
              <w:rPr>
                <w:rFonts w:cs="Arial"/>
                <w:sz w:val="16"/>
                <w:szCs w:val="16"/>
              </w:rPr>
              <w:t>E</w:t>
            </w:r>
            <w:r w:rsidRPr="0096011B">
              <w:rPr>
                <w:rFonts w:cs="Arial"/>
                <w:sz w:val="16"/>
                <w:szCs w:val="16"/>
              </w:rPr>
              <w:t>stimating Technique</w:t>
            </w:r>
          </w:p>
        </w:tc>
        <w:tc>
          <w:tcPr>
            <w:tcW w:w="364"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Sample Calculation Identifier</w:t>
            </w:r>
          </w:p>
        </w:tc>
        <w:tc>
          <w:tcPr>
            <w:tcW w:w="318"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Emissions Data Quality</w:t>
            </w:r>
          </w:p>
        </w:tc>
        <w:tc>
          <w:tcPr>
            <w:tcW w:w="318" w:type="pct"/>
            <w:shd w:val="clear" w:color="auto" w:fill="D9D9D9" w:themeFill="background1" w:themeFillShade="D9"/>
          </w:tcPr>
          <w:p w:rsidR="008E21DD" w:rsidRPr="0096011B" w:rsidRDefault="008E21DD" w:rsidP="006157D7">
            <w:pPr>
              <w:autoSpaceDE w:val="0"/>
              <w:autoSpaceDN w:val="0"/>
              <w:adjustRightInd w:val="0"/>
              <w:jc w:val="center"/>
              <w:rPr>
                <w:rFonts w:cs="Arial"/>
                <w:sz w:val="16"/>
                <w:szCs w:val="16"/>
              </w:rPr>
            </w:pPr>
            <w:r w:rsidRPr="0096011B">
              <w:rPr>
                <w:rFonts w:cs="Arial"/>
                <w:sz w:val="16"/>
                <w:szCs w:val="16"/>
              </w:rPr>
              <w:t>% of Overall Emissions (%)</w:t>
            </w: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227"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182"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64" w:type="pct"/>
          </w:tcPr>
          <w:p w:rsidR="008E21DD" w:rsidRDefault="008E21DD" w:rsidP="006157D7">
            <w:pPr>
              <w:rPr>
                <w:rFonts w:cs="Arial"/>
                <w:sz w:val="22"/>
              </w:rPr>
            </w:pPr>
          </w:p>
        </w:tc>
        <w:tc>
          <w:tcPr>
            <w:tcW w:w="318" w:type="pct"/>
          </w:tcPr>
          <w:p w:rsidR="008E21DD" w:rsidRDefault="008E21DD" w:rsidP="006157D7">
            <w:pPr>
              <w:rPr>
                <w:rFonts w:cs="Arial"/>
                <w:sz w:val="22"/>
              </w:rPr>
            </w:pPr>
          </w:p>
        </w:tc>
        <w:tc>
          <w:tcPr>
            <w:tcW w:w="318" w:type="pct"/>
          </w:tcPr>
          <w:p w:rsidR="008E21DD" w:rsidRDefault="008E21DD" w:rsidP="006157D7">
            <w:pPr>
              <w:rPr>
                <w:rFonts w:cs="Arial"/>
                <w:sz w:val="22"/>
              </w:rPr>
            </w:pPr>
          </w:p>
        </w:tc>
      </w:tr>
      <w:tr w:rsidR="008E21DD" w:rsidTr="00077125">
        <w:trPr>
          <w:tblHeader/>
        </w:trPr>
        <w:tc>
          <w:tcPr>
            <w:tcW w:w="273"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c>
          <w:tcPr>
            <w:tcW w:w="227" w:type="pct"/>
          </w:tcPr>
          <w:p w:rsidR="008E21DD" w:rsidRDefault="008E21DD" w:rsidP="006C2745">
            <w:pPr>
              <w:spacing w:before="240"/>
              <w:rPr>
                <w:rFonts w:cs="Arial"/>
                <w:sz w:val="22"/>
              </w:rPr>
            </w:pPr>
          </w:p>
        </w:tc>
        <w:tc>
          <w:tcPr>
            <w:tcW w:w="227"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182"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c>
          <w:tcPr>
            <w:tcW w:w="364"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c>
          <w:tcPr>
            <w:tcW w:w="318" w:type="pct"/>
          </w:tcPr>
          <w:p w:rsidR="008E21DD" w:rsidRDefault="008E21DD" w:rsidP="006C2745">
            <w:pPr>
              <w:spacing w:before="240"/>
              <w:rPr>
                <w:rFonts w:cs="Arial"/>
                <w:sz w:val="22"/>
              </w:rPr>
            </w:pPr>
          </w:p>
        </w:tc>
      </w:tr>
    </w:tbl>
    <w:p w:rsidR="004D2857" w:rsidRPr="00DF322A" w:rsidRDefault="004D2857" w:rsidP="006C2745">
      <w:pPr>
        <w:spacing w:before="240"/>
        <w:rPr>
          <w:rFonts w:cs="Arial"/>
          <w:sz w:val="22"/>
          <w:u w:val="single"/>
        </w:rPr>
      </w:pPr>
      <w:r w:rsidRPr="00DF322A">
        <w:rPr>
          <w:rFonts w:cs="Arial"/>
          <w:sz w:val="22"/>
          <w:u w:val="single"/>
        </w:rPr>
        <w:t>Notes for Table D-2b: Suggested Format for a Source Summary Table:</w:t>
      </w:r>
    </w:p>
    <w:p w:rsidR="004D2857" w:rsidRPr="00DF322A" w:rsidRDefault="004D2857" w:rsidP="004D2857">
      <w:pPr>
        <w:numPr>
          <w:ilvl w:val="1"/>
          <w:numId w:val="2"/>
        </w:numPr>
        <w:spacing w:after="0" w:line="240" w:lineRule="auto"/>
        <w:ind w:left="900" w:hanging="540"/>
        <w:rPr>
          <w:rFonts w:cs="Arial"/>
          <w:sz w:val="22"/>
        </w:rPr>
      </w:pPr>
      <w:r w:rsidRPr="00DF322A">
        <w:rPr>
          <w:rFonts w:cs="Arial"/>
          <w:sz w:val="22"/>
          <w:u w:val="single"/>
        </w:rPr>
        <w:t xml:space="preserve">Source ID: </w:t>
      </w:r>
      <w:r w:rsidRPr="00DF322A">
        <w:rPr>
          <w:rFonts w:cs="Arial"/>
          <w:sz w:val="22"/>
        </w:rPr>
        <w:t xml:space="preserve">should provide information on the modelling source type (e.g., Point, Area or Volume Source); the process source or sources within the modelling source (e.g., Process Line #1); and the stack or stacks within each process source. Please ensure the Source IDs match the model input files. If the Source ID terminology is modified in subsequent ESDM reports, a note to highlight the changes in terminology for each Source ID are to be included for clarity and comparisons. </w:t>
      </w:r>
    </w:p>
    <w:p w:rsidR="004D2857" w:rsidRPr="00DF322A" w:rsidRDefault="004D2857" w:rsidP="004D2857">
      <w:pPr>
        <w:numPr>
          <w:ilvl w:val="1"/>
          <w:numId w:val="2"/>
        </w:numPr>
        <w:tabs>
          <w:tab w:val="num" w:pos="900"/>
        </w:tabs>
        <w:spacing w:after="0" w:line="240" w:lineRule="auto"/>
        <w:ind w:left="900" w:hanging="540"/>
        <w:rPr>
          <w:rFonts w:cs="Arial"/>
          <w:sz w:val="22"/>
        </w:rPr>
      </w:pPr>
      <w:r w:rsidRPr="00DF322A">
        <w:rPr>
          <w:rFonts w:cs="Arial"/>
          <w:sz w:val="22"/>
          <w:u w:val="single"/>
        </w:rPr>
        <w:t>Emission rate estimating Technique Short-Forms:</w:t>
      </w:r>
      <w:r w:rsidRPr="00DF322A">
        <w:rPr>
          <w:rFonts w:cs="Arial"/>
          <w:sz w:val="22"/>
        </w:rPr>
        <w:t xml:space="preserve"> “V-ST” means Validated Source Test; “ST” means Source Test; “EF” means Emission Factor</w:t>
      </w:r>
      <w:proofErr w:type="gramStart"/>
      <w:r w:rsidRPr="00DF322A">
        <w:rPr>
          <w:rFonts w:cs="Arial"/>
          <w:sz w:val="22"/>
        </w:rPr>
        <w:t>;  “</w:t>
      </w:r>
      <w:proofErr w:type="gramEnd"/>
      <w:r w:rsidRPr="00DF322A">
        <w:rPr>
          <w:rFonts w:cs="Arial"/>
          <w:sz w:val="22"/>
        </w:rPr>
        <w:t>MB” means mass balance; “EC” means engineering calculation.</w:t>
      </w:r>
    </w:p>
    <w:p w:rsidR="004D2857" w:rsidRPr="00DF322A" w:rsidRDefault="004D2857" w:rsidP="004D2857">
      <w:pPr>
        <w:numPr>
          <w:ilvl w:val="1"/>
          <w:numId w:val="2"/>
        </w:numPr>
        <w:spacing w:after="0" w:line="240" w:lineRule="auto"/>
        <w:ind w:left="900" w:hanging="540"/>
        <w:rPr>
          <w:rFonts w:cs="Arial"/>
          <w:sz w:val="22"/>
        </w:rPr>
      </w:pPr>
      <w:r w:rsidRPr="00DF322A">
        <w:rPr>
          <w:rFonts w:cs="Arial"/>
          <w:sz w:val="22"/>
          <w:u w:val="single"/>
        </w:rPr>
        <w:t>Data Quality Categories:</w:t>
      </w:r>
      <w:r w:rsidRPr="00DF322A">
        <w:rPr>
          <w:rFonts w:cs="Arial"/>
          <w:sz w:val="22"/>
        </w:rPr>
        <w:t xml:space="preserve"> Highest; Above-Average; Average; and Marginal. </w:t>
      </w:r>
    </w:p>
    <w:p w:rsidR="004D2857" w:rsidRPr="00DF322A" w:rsidRDefault="004D2857" w:rsidP="004D2857">
      <w:pPr>
        <w:numPr>
          <w:ilvl w:val="1"/>
          <w:numId w:val="2"/>
        </w:numPr>
        <w:spacing w:after="0" w:line="240" w:lineRule="auto"/>
        <w:ind w:left="900" w:hanging="540"/>
        <w:rPr>
          <w:rFonts w:cs="Arial"/>
          <w:sz w:val="22"/>
        </w:rPr>
      </w:pPr>
      <w:r w:rsidRPr="00DF322A">
        <w:rPr>
          <w:rFonts w:cs="Arial"/>
          <w:sz w:val="22"/>
          <w:u w:val="single"/>
        </w:rPr>
        <w:t>Alternate Table Formats</w:t>
      </w:r>
      <w:r w:rsidRPr="00DF322A">
        <w:rPr>
          <w:rFonts w:cs="Arial"/>
          <w:sz w:val="22"/>
        </w:rPr>
        <w:t>: are acceptable if they provide the information required, under paragraph 8 of subsection 26 (1) of the Regulation, for a source summary table.  In addition, multiple source summary tables can be used.</w:t>
      </w:r>
    </w:p>
    <w:p w:rsidR="004D2857" w:rsidRPr="00DF322A" w:rsidRDefault="004D2857" w:rsidP="004D2857">
      <w:pPr>
        <w:numPr>
          <w:ilvl w:val="1"/>
          <w:numId w:val="2"/>
        </w:numPr>
        <w:spacing w:after="0" w:line="240" w:lineRule="auto"/>
        <w:ind w:left="900" w:hanging="540"/>
        <w:rPr>
          <w:rFonts w:cs="Arial"/>
          <w:sz w:val="22"/>
        </w:rPr>
      </w:pPr>
      <w:r w:rsidRPr="00DF322A">
        <w:rPr>
          <w:rFonts w:cs="Arial"/>
          <w:sz w:val="22"/>
          <w:u w:val="single"/>
        </w:rPr>
        <w:t>Sample Calculation Identifier</w:t>
      </w:r>
      <w:r w:rsidRPr="00DF322A">
        <w:rPr>
          <w:rFonts w:cs="Arial"/>
          <w:sz w:val="22"/>
        </w:rPr>
        <w:t xml:space="preserve">: Sample calculation for each different source, contaminant or estimation method should be numbered and presented in the Appendix.  It is not necessary to repeat the sample calculation if same approach is used to for multiple sources and/or contaminant. </w:t>
      </w:r>
    </w:p>
    <w:p w:rsidR="00F7244A" w:rsidRDefault="00F7244A">
      <w:pPr>
        <w:rPr>
          <w:rFonts w:cs="Arial"/>
          <w:sz w:val="22"/>
        </w:rPr>
      </w:pPr>
      <w:r>
        <w:rPr>
          <w:rFonts w:cs="Arial"/>
          <w:sz w:val="22"/>
        </w:rPr>
        <w:br w:type="page"/>
      </w:r>
    </w:p>
    <w:p w:rsidR="00F7244A" w:rsidRDefault="00F7244A" w:rsidP="00F7244A">
      <w:pPr>
        <w:pStyle w:val="Heading2"/>
        <w:spacing w:before="480"/>
        <w:rPr>
          <w:sz w:val="28"/>
          <w:szCs w:val="28"/>
        </w:rPr>
      </w:pPr>
      <w:r w:rsidRPr="009D45EC">
        <w:rPr>
          <w:sz w:val="28"/>
          <w:szCs w:val="28"/>
        </w:rPr>
        <w:lastRenderedPageBreak/>
        <w:t>Table D-</w:t>
      </w:r>
      <w:r>
        <w:rPr>
          <w:sz w:val="28"/>
          <w:szCs w:val="28"/>
        </w:rPr>
        <w:t>3: Suggested Format for</w:t>
      </w:r>
      <w:r w:rsidRPr="00F7244A">
        <w:rPr>
          <w:sz w:val="28"/>
          <w:szCs w:val="28"/>
        </w:rPr>
        <w:t xml:space="preserve"> a Dispersion Modelling Input Summary Table</w:t>
      </w:r>
    </w:p>
    <w:tbl>
      <w:tblPr>
        <w:tblStyle w:val="TableGrid"/>
        <w:tblW w:w="5000" w:type="pct"/>
        <w:tblLook w:val="04A0" w:firstRow="1" w:lastRow="0" w:firstColumn="1" w:lastColumn="0" w:noHBand="0" w:noVBand="1"/>
        <w:tblDescription w:val="Table D-3: Suggested Format for a Dispersion Modelling Input Summary Table has three columns. The first is Relevant Section of the Regulation, the second is Section Title, the third is the Description of How the Approved Dispersion Model was Used."/>
      </w:tblPr>
      <w:tblGrid>
        <w:gridCol w:w="3219"/>
        <w:gridCol w:w="6085"/>
        <w:gridCol w:w="8192"/>
      </w:tblGrid>
      <w:tr w:rsidR="00F7244A" w:rsidTr="00077125">
        <w:trPr>
          <w:tblHeader/>
        </w:trPr>
        <w:tc>
          <w:tcPr>
            <w:tcW w:w="920" w:type="pct"/>
            <w:shd w:val="clear" w:color="auto" w:fill="D9D9D9" w:themeFill="background1" w:themeFillShade="D9"/>
          </w:tcPr>
          <w:p w:rsidR="00F7244A" w:rsidRDefault="00F7244A" w:rsidP="00F119E2">
            <w:pPr>
              <w:jc w:val="center"/>
              <w:rPr>
                <w:rFonts w:cs="Arial"/>
                <w:sz w:val="22"/>
              </w:rPr>
            </w:pPr>
            <w:r w:rsidRPr="00F7244A">
              <w:rPr>
                <w:rFonts w:cs="Arial"/>
                <w:sz w:val="22"/>
              </w:rPr>
              <w:t>Relevant Section of</w:t>
            </w:r>
            <w:r w:rsidR="00F119E2">
              <w:rPr>
                <w:rFonts w:cs="Arial"/>
                <w:sz w:val="22"/>
              </w:rPr>
              <w:t xml:space="preserve"> </w:t>
            </w:r>
            <w:r w:rsidRPr="00F7244A">
              <w:rPr>
                <w:rFonts w:cs="Arial"/>
                <w:sz w:val="22"/>
              </w:rPr>
              <w:t>the Regulation</w:t>
            </w:r>
          </w:p>
        </w:tc>
        <w:tc>
          <w:tcPr>
            <w:tcW w:w="1739" w:type="pct"/>
            <w:shd w:val="clear" w:color="auto" w:fill="D9D9D9" w:themeFill="background1" w:themeFillShade="D9"/>
          </w:tcPr>
          <w:p w:rsidR="00F7244A" w:rsidRDefault="00F7244A" w:rsidP="00F7244A">
            <w:pPr>
              <w:jc w:val="center"/>
              <w:rPr>
                <w:rFonts w:cs="Arial"/>
                <w:sz w:val="22"/>
              </w:rPr>
            </w:pPr>
            <w:r w:rsidRPr="00F7244A">
              <w:rPr>
                <w:rFonts w:cs="Arial"/>
                <w:sz w:val="22"/>
              </w:rPr>
              <w:t>Section Title</w:t>
            </w:r>
          </w:p>
        </w:tc>
        <w:tc>
          <w:tcPr>
            <w:tcW w:w="2341" w:type="pct"/>
            <w:shd w:val="clear" w:color="auto" w:fill="D9D9D9" w:themeFill="background1" w:themeFillShade="D9"/>
          </w:tcPr>
          <w:p w:rsidR="00F7244A" w:rsidRDefault="00F7244A" w:rsidP="00F119E2">
            <w:pPr>
              <w:jc w:val="center"/>
              <w:rPr>
                <w:rFonts w:cs="Arial"/>
                <w:sz w:val="22"/>
              </w:rPr>
            </w:pPr>
            <w:r w:rsidRPr="00F7244A">
              <w:rPr>
                <w:rFonts w:cs="Arial"/>
                <w:sz w:val="22"/>
              </w:rPr>
              <w:t xml:space="preserve">Description of How the Approved Dispersion </w:t>
            </w:r>
            <w:r w:rsidR="00F119E2">
              <w:rPr>
                <w:rFonts w:cs="Arial"/>
                <w:sz w:val="22"/>
              </w:rPr>
              <w:t>M</w:t>
            </w:r>
            <w:r w:rsidRPr="00F7244A">
              <w:rPr>
                <w:rFonts w:cs="Arial"/>
                <w:sz w:val="22"/>
              </w:rPr>
              <w:t>odel</w:t>
            </w:r>
            <w:r w:rsidR="00F119E2">
              <w:rPr>
                <w:rFonts w:cs="Arial"/>
                <w:sz w:val="22"/>
              </w:rPr>
              <w:t xml:space="preserve"> </w:t>
            </w:r>
            <w:r w:rsidRPr="00F7244A">
              <w:rPr>
                <w:rFonts w:cs="Arial"/>
                <w:sz w:val="22"/>
              </w:rPr>
              <w:t>was Used</w:t>
            </w:r>
          </w:p>
        </w:tc>
      </w:tr>
      <w:tr w:rsidR="00F7244A" w:rsidTr="00077125">
        <w:trPr>
          <w:tblHeader/>
        </w:trPr>
        <w:tc>
          <w:tcPr>
            <w:tcW w:w="920" w:type="pct"/>
          </w:tcPr>
          <w:p w:rsidR="00F7244A" w:rsidRDefault="00F119E2" w:rsidP="00A201FC">
            <w:pPr>
              <w:rPr>
                <w:rFonts w:cs="Arial"/>
                <w:sz w:val="22"/>
              </w:rPr>
            </w:pPr>
            <w:r>
              <w:rPr>
                <w:rFonts w:cs="Arial"/>
                <w:sz w:val="22"/>
              </w:rPr>
              <w:t>Section 6</w:t>
            </w:r>
          </w:p>
        </w:tc>
        <w:tc>
          <w:tcPr>
            <w:tcW w:w="1739" w:type="pct"/>
          </w:tcPr>
          <w:p w:rsidR="00F7244A" w:rsidRDefault="00F119E2" w:rsidP="006157D7">
            <w:pPr>
              <w:rPr>
                <w:rFonts w:cs="Arial"/>
                <w:sz w:val="22"/>
              </w:rPr>
            </w:pPr>
            <w:r w:rsidRPr="00F119E2">
              <w:rPr>
                <w:rFonts w:cs="Arial"/>
                <w:sz w:val="22"/>
              </w:rPr>
              <w:t>Approved Air Dispersion (include Model Versions)</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8</w:t>
            </w:r>
          </w:p>
        </w:tc>
        <w:tc>
          <w:tcPr>
            <w:tcW w:w="1739" w:type="pct"/>
          </w:tcPr>
          <w:p w:rsidR="00F7244A" w:rsidRDefault="00F119E2" w:rsidP="006157D7">
            <w:pPr>
              <w:rPr>
                <w:rFonts w:cs="Arial"/>
                <w:sz w:val="22"/>
              </w:rPr>
            </w:pPr>
            <w:r w:rsidRPr="00F119E2">
              <w:rPr>
                <w:rFonts w:cs="Arial"/>
                <w:sz w:val="22"/>
              </w:rPr>
              <w:t>Negligible Sources</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9</w:t>
            </w:r>
          </w:p>
        </w:tc>
        <w:tc>
          <w:tcPr>
            <w:tcW w:w="1739" w:type="pct"/>
          </w:tcPr>
          <w:p w:rsidR="00F7244A" w:rsidRDefault="00F119E2" w:rsidP="006157D7">
            <w:pPr>
              <w:rPr>
                <w:rFonts w:cs="Arial"/>
                <w:sz w:val="22"/>
              </w:rPr>
            </w:pPr>
            <w:r w:rsidRPr="00F119E2">
              <w:rPr>
                <w:rFonts w:cs="Arial"/>
                <w:sz w:val="22"/>
              </w:rPr>
              <w:t>Same Structure Contamination</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10</w:t>
            </w:r>
          </w:p>
        </w:tc>
        <w:tc>
          <w:tcPr>
            <w:tcW w:w="1739" w:type="pct"/>
          </w:tcPr>
          <w:p w:rsidR="00F7244A" w:rsidRDefault="00F119E2" w:rsidP="006157D7">
            <w:pPr>
              <w:rPr>
                <w:rFonts w:cs="Arial"/>
                <w:sz w:val="22"/>
              </w:rPr>
            </w:pPr>
            <w:r w:rsidRPr="00F119E2">
              <w:rPr>
                <w:rFonts w:cs="Arial"/>
                <w:sz w:val="22"/>
              </w:rPr>
              <w:t>Operating Conditions</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11</w:t>
            </w:r>
          </w:p>
        </w:tc>
        <w:tc>
          <w:tcPr>
            <w:tcW w:w="1739" w:type="pct"/>
          </w:tcPr>
          <w:p w:rsidR="00F7244A" w:rsidRDefault="00F119E2" w:rsidP="006157D7">
            <w:pPr>
              <w:rPr>
                <w:rFonts w:cs="Arial"/>
                <w:sz w:val="22"/>
              </w:rPr>
            </w:pPr>
            <w:r w:rsidRPr="00F119E2">
              <w:rPr>
                <w:rFonts w:cs="Arial"/>
                <w:sz w:val="22"/>
              </w:rPr>
              <w:t>Source of Contaminant Emission Rates</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12</w:t>
            </w:r>
          </w:p>
        </w:tc>
        <w:tc>
          <w:tcPr>
            <w:tcW w:w="1739" w:type="pct"/>
          </w:tcPr>
          <w:p w:rsidR="00F7244A" w:rsidRPr="000A2B43" w:rsidRDefault="00F119E2" w:rsidP="006157D7">
            <w:pPr>
              <w:rPr>
                <w:rFonts w:cs="Arial"/>
                <w:sz w:val="22"/>
              </w:rPr>
            </w:pPr>
            <w:r w:rsidRPr="00F119E2">
              <w:rPr>
                <w:rFonts w:cs="Arial"/>
                <w:sz w:val="22"/>
              </w:rPr>
              <w:t>Combined Effect of Assumptions for Operating Conditions and Emission Rates</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13</w:t>
            </w:r>
          </w:p>
        </w:tc>
        <w:tc>
          <w:tcPr>
            <w:tcW w:w="1739" w:type="pct"/>
          </w:tcPr>
          <w:p w:rsidR="00F7244A" w:rsidRPr="000A2B43" w:rsidRDefault="00F119E2" w:rsidP="006157D7">
            <w:pPr>
              <w:rPr>
                <w:rFonts w:cs="Arial"/>
                <w:sz w:val="22"/>
              </w:rPr>
            </w:pPr>
            <w:r w:rsidRPr="00F119E2">
              <w:rPr>
                <w:rFonts w:cs="Arial"/>
                <w:sz w:val="22"/>
              </w:rPr>
              <w:t>Meteorological Conditions (include AERMET version)</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14</w:t>
            </w:r>
          </w:p>
        </w:tc>
        <w:tc>
          <w:tcPr>
            <w:tcW w:w="1739" w:type="pct"/>
          </w:tcPr>
          <w:p w:rsidR="00F7244A" w:rsidRPr="000A2B43" w:rsidRDefault="00F119E2" w:rsidP="006157D7">
            <w:pPr>
              <w:rPr>
                <w:rFonts w:cs="Arial"/>
                <w:sz w:val="22"/>
              </w:rPr>
            </w:pPr>
            <w:r w:rsidRPr="00F119E2">
              <w:rPr>
                <w:rFonts w:cs="Arial"/>
                <w:sz w:val="22"/>
              </w:rPr>
              <w:t>Area of Modelling Coverage</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15</w:t>
            </w:r>
          </w:p>
        </w:tc>
        <w:tc>
          <w:tcPr>
            <w:tcW w:w="1739" w:type="pct"/>
          </w:tcPr>
          <w:p w:rsidR="00F7244A" w:rsidRPr="000A2B43" w:rsidRDefault="00F119E2" w:rsidP="006157D7">
            <w:pPr>
              <w:rPr>
                <w:rFonts w:cs="Arial"/>
                <w:sz w:val="22"/>
              </w:rPr>
            </w:pPr>
            <w:r w:rsidRPr="00F119E2">
              <w:rPr>
                <w:rFonts w:cs="Arial"/>
                <w:sz w:val="22"/>
              </w:rPr>
              <w:t>Stack Height for Certain New Sources of Contaminant</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16</w:t>
            </w:r>
          </w:p>
        </w:tc>
        <w:tc>
          <w:tcPr>
            <w:tcW w:w="1739" w:type="pct"/>
          </w:tcPr>
          <w:p w:rsidR="00F7244A" w:rsidRPr="000A2B43" w:rsidRDefault="00F119E2" w:rsidP="006157D7">
            <w:pPr>
              <w:rPr>
                <w:rFonts w:cs="Arial"/>
                <w:sz w:val="22"/>
              </w:rPr>
            </w:pPr>
            <w:r w:rsidRPr="00F119E2">
              <w:rPr>
                <w:rFonts w:cs="Arial"/>
                <w:sz w:val="22"/>
              </w:rPr>
              <w:t>Terrain Data</w:t>
            </w:r>
          </w:p>
        </w:tc>
        <w:tc>
          <w:tcPr>
            <w:tcW w:w="2341" w:type="pct"/>
          </w:tcPr>
          <w:p w:rsidR="00F7244A" w:rsidRDefault="00F7244A" w:rsidP="006157D7">
            <w:pPr>
              <w:rPr>
                <w:rFonts w:cs="Arial"/>
                <w:sz w:val="22"/>
              </w:rPr>
            </w:pPr>
          </w:p>
        </w:tc>
      </w:tr>
      <w:tr w:rsidR="00F7244A" w:rsidTr="00077125">
        <w:trPr>
          <w:tblHeader/>
        </w:trPr>
        <w:tc>
          <w:tcPr>
            <w:tcW w:w="920" w:type="pct"/>
          </w:tcPr>
          <w:p w:rsidR="00F7244A" w:rsidRDefault="00F7244A" w:rsidP="00A201FC">
            <w:pPr>
              <w:rPr>
                <w:rFonts w:cs="Arial"/>
                <w:sz w:val="22"/>
              </w:rPr>
            </w:pPr>
            <w:r>
              <w:rPr>
                <w:rFonts w:cs="Arial"/>
                <w:sz w:val="22"/>
              </w:rPr>
              <w:t>Section</w:t>
            </w:r>
            <w:r w:rsidR="00F119E2">
              <w:rPr>
                <w:rFonts w:cs="Arial"/>
                <w:sz w:val="22"/>
              </w:rPr>
              <w:t xml:space="preserve"> 17</w:t>
            </w:r>
          </w:p>
        </w:tc>
        <w:tc>
          <w:tcPr>
            <w:tcW w:w="1739" w:type="pct"/>
          </w:tcPr>
          <w:p w:rsidR="00F7244A" w:rsidRPr="000A2B43" w:rsidRDefault="00F119E2" w:rsidP="006157D7">
            <w:pPr>
              <w:rPr>
                <w:rFonts w:cs="Arial"/>
                <w:sz w:val="22"/>
              </w:rPr>
            </w:pPr>
            <w:r w:rsidRPr="00444AB7">
              <w:rPr>
                <w:rFonts w:cs="Arial"/>
                <w:sz w:val="22"/>
              </w:rPr>
              <w:t>Averaging Periods</w:t>
            </w:r>
          </w:p>
        </w:tc>
        <w:tc>
          <w:tcPr>
            <w:tcW w:w="2341" w:type="pct"/>
          </w:tcPr>
          <w:p w:rsidR="00F7244A" w:rsidRDefault="00F7244A" w:rsidP="006157D7">
            <w:pPr>
              <w:rPr>
                <w:rFonts w:cs="Arial"/>
                <w:sz w:val="22"/>
              </w:rPr>
            </w:pPr>
          </w:p>
        </w:tc>
      </w:tr>
    </w:tbl>
    <w:p w:rsidR="00F119E2" w:rsidRDefault="00F119E2">
      <w:pPr>
        <w:rPr>
          <w:rFonts w:cs="Arial"/>
          <w:sz w:val="22"/>
        </w:rPr>
      </w:pPr>
      <w:r>
        <w:rPr>
          <w:rFonts w:cs="Arial"/>
          <w:sz w:val="22"/>
        </w:rPr>
        <w:br w:type="page"/>
      </w:r>
    </w:p>
    <w:p w:rsidR="00F119E2" w:rsidRDefault="00F119E2" w:rsidP="00F119E2">
      <w:pPr>
        <w:pStyle w:val="Heading2"/>
        <w:spacing w:before="480"/>
        <w:rPr>
          <w:sz w:val="28"/>
          <w:szCs w:val="28"/>
        </w:rPr>
      </w:pPr>
      <w:r w:rsidRPr="009D45EC">
        <w:rPr>
          <w:sz w:val="28"/>
          <w:szCs w:val="28"/>
        </w:rPr>
        <w:lastRenderedPageBreak/>
        <w:t>Table D-</w:t>
      </w:r>
      <w:r>
        <w:rPr>
          <w:sz w:val="28"/>
          <w:szCs w:val="28"/>
        </w:rPr>
        <w:t>4</w:t>
      </w:r>
      <w:r w:rsidRPr="009D45EC">
        <w:rPr>
          <w:sz w:val="28"/>
          <w:szCs w:val="28"/>
        </w:rPr>
        <w:t>: Suggested Format for</w:t>
      </w:r>
      <w:r w:rsidRPr="00F119E2">
        <w:rPr>
          <w:sz w:val="28"/>
          <w:szCs w:val="28"/>
        </w:rPr>
        <w:t xml:space="preserve"> an Emission Summary Table</w:t>
      </w:r>
    </w:p>
    <w:tbl>
      <w:tblPr>
        <w:tblStyle w:val="TableGrid"/>
        <w:tblW w:w="5000" w:type="pct"/>
        <w:tblLook w:val="04A0" w:firstRow="1" w:lastRow="0" w:firstColumn="1" w:lastColumn="0" w:noHBand="0" w:noVBand="1"/>
        <w:tblDescription w:val="This Table D-4: Suggest Format for an Emission Summary Table contains ten columns and one row header. It contains no data, and serves to present the format suggested. The first column contains the name of the contaminant that is to be modelled, and the second column contains the corresponding CAS number of the contaminant. The third column contains the total property-wide emissions of the contaminant. The fourth column contains the name of the air dispersion model used to model, and the fifth and sixth column contains the corresponding maximum Point of Impingement (POI) concentration predicted by the model and the model averaging period respectively. The seventh, eighth and ninth column contain Ontario’s air quality limit, the corresponding limiting effect, and the Regulation Schedule Number from which the limit was obtained. The tenth column contains the ratio of the modelled maximum POI as a percentage of the ministry POI limit."/>
      </w:tblPr>
      <w:tblGrid>
        <w:gridCol w:w="1749"/>
        <w:gridCol w:w="1749"/>
        <w:gridCol w:w="1749"/>
        <w:gridCol w:w="1749"/>
        <w:gridCol w:w="1750"/>
        <w:gridCol w:w="1750"/>
        <w:gridCol w:w="1750"/>
        <w:gridCol w:w="1750"/>
        <w:gridCol w:w="1750"/>
        <w:gridCol w:w="1750"/>
      </w:tblGrid>
      <w:tr w:rsidR="00AD358B" w:rsidTr="00077125">
        <w:trPr>
          <w:tblHeader/>
        </w:trPr>
        <w:tc>
          <w:tcPr>
            <w:tcW w:w="500" w:type="pct"/>
            <w:shd w:val="clear" w:color="auto" w:fill="D9D9D9" w:themeFill="background1" w:themeFillShade="D9"/>
          </w:tcPr>
          <w:p w:rsidR="00AD358B" w:rsidRPr="00AD358B" w:rsidRDefault="00AD358B" w:rsidP="00E17B6D">
            <w:pPr>
              <w:jc w:val="center"/>
              <w:rPr>
                <w:rFonts w:cs="Arial"/>
                <w:sz w:val="18"/>
                <w:szCs w:val="18"/>
              </w:rPr>
            </w:pPr>
            <w:r w:rsidRPr="00AD358B">
              <w:rPr>
                <w:rFonts w:cs="Arial"/>
                <w:sz w:val="18"/>
                <w:szCs w:val="18"/>
              </w:rPr>
              <w:t>Contaminant</w:t>
            </w:r>
            <w:r w:rsidR="00E17B6D">
              <w:rPr>
                <w:rFonts w:cs="Arial"/>
                <w:sz w:val="18"/>
                <w:szCs w:val="18"/>
              </w:rPr>
              <w:t xml:space="preserve"> </w:t>
            </w:r>
            <w:r w:rsidRPr="00AD358B">
              <w:rPr>
                <w:rFonts w:cs="Arial"/>
                <w:sz w:val="18"/>
                <w:szCs w:val="18"/>
              </w:rPr>
              <w:t>Name</w:t>
            </w:r>
          </w:p>
        </w:tc>
        <w:tc>
          <w:tcPr>
            <w:tcW w:w="500" w:type="pct"/>
            <w:shd w:val="clear" w:color="auto" w:fill="D9D9D9" w:themeFill="background1" w:themeFillShade="D9"/>
          </w:tcPr>
          <w:p w:rsidR="00AD358B" w:rsidRPr="00AD358B" w:rsidRDefault="00AD358B" w:rsidP="00E17B6D">
            <w:pPr>
              <w:autoSpaceDE w:val="0"/>
              <w:autoSpaceDN w:val="0"/>
              <w:adjustRightInd w:val="0"/>
              <w:jc w:val="center"/>
              <w:rPr>
                <w:rFonts w:cs="Arial"/>
                <w:sz w:val="18"/>
                <w:szCs w:val="18"/>
              </w:rPr>
            </w:pPr>
            <w:r w:rsidRPr="00AD358B">
              <w:rPr>
                <w:rFonts w:cs="Arial"/>
                <w:sz w:val="18"/>
                <w:szCs w:val="18"/>
              </w:rPr>
              <w:t>Contaminant CAS #</w:t>
            </w:r>
          </w:p>
        </w:tc>
        <w:tc>
          <w:tcPr>
            <w:tcW w:w="500" w:type="pct"/>
            <w:shd w:val="clear" w:color="auto" w:fill="D9D9D9" w:themeFill="background1" w:themeFillShade="D9"/>
          </w:tcPr>
          <w:p w:rsidR="00AD358B" w:rsidRPr="00AD358B" w:rsidRDefault="00AD358B" w:rsidP="00E17B6D">
            <w:pPr>
              <w:jc w:val="center"/>
              <w:rPr>
                <w:rFonts w:cs="Arial"/>
                <w:sz w:val="18"/>
                <w:szCs w:val="18"/>
              </w:rPr>
            </w:pPr>
            <w:r w:rsidRPr="00AD358B">
              <w:rPr>
                <w:rFonts w:cs="Arial"/>
                <w:sz w:val="18"/>
                <w:szCs w:val="18"/>
              </w:rPr>
              <w:t>Total</w:t>
            </w:r>
            <w:r w:rsidR="00E17B6D">
              <w:rPr>
                <w:rFonts w:cs="Arial"/>
                <w:sz w:val="18"/>
                <w:szCs w:val="18"/>
              </w:rPr>
              <w:t xml:space="preserve"> </w:t>
            </w:r>
            <w:r w:rsidRPr="00AD358B">
              <w:rPr>
                <w:rFonts w:cs="Arial"/>
                <w:sz w:val="18"/>
                <w:szCs w:val="18"/>
              </w:rPr>
              <w:t>Facility</w:t>
            </w:r>
            <w:r w:rsidR="00E17B6D">
              <w:rPr>
                <w:rFonts w:cs="Arial"/>
                <w:sz w:val="18"/>
                <w:szCs w:val="18"/>
              </w:rPr>
              <w:t xml:space="preserve"> </w:t>
            </w:r>
            <w:r w:rsidRPr="00AD358B">
              <w:rPr>
                <w:rFonts w:cs="Arial"/>
                <w:sz w:val="18"/>
                <w:szCs w:val="18"/>
              </w:rPr>
              <w:t>Emission</w:t>
            </w:r>
            <w:r w:rsidR="00E17B6D">
              <w:rPr>
                <w:rFonts w:cs="Arial"/>
                <w:sz w:val="18"/>
                <w:szCs w:val="18"/>
              </w:rPr>
              <w:t xml:space="preserve"> </w:t>
            </w:r>
            <w:r w:rsidRPr="00AD358B">
              <w:rPr>
                <w:rFonts w:cs="Arial"/>
                <w:sz w:val="18"/>
                <w:szCs w:val="18"/>
              </w:rPr>
              <w:t>Rate</w:t>
            </w:r>
            <w:r w:rsidR="00E17B6D">
              <w:rPr>
                <w:rFonts w:cs="Arial"/>
                <w:sz w:val="18"/>
                <w:szCs w:val="18"/>
              </w:rPr>
              <w:t xml:space="preserve"> </w:t>
            </w:r>
            <w:r w:rsidRPr="00AD358B">
              <w:rPr>
                <w:rFonts w:cs="Arial"/>
                <w:sz w:val="18"/>
                <w:szCs w:val="18"/>
              </w:rPr>
              <w:t>(g/s)</w:t>
            </w:r>
          </w:p>
        </w:tc>
        <w:tc>
          <w:tcPr>
            <w:tcW w:w="500" w:type="pct"/>
            <w:shd w:val="clear" w:color="auto" w:fill="D9D9D9" w:themeFill="background1" w:themeFillShade="D9"/>
          </w:tcPr>
          <w:p w:rsidR="00AD358B" w:rsidRPr="00AD358B" w:rsidRDefault="00AD358B" w:rsidP="00E17B6D">
            <w:pPr>
              <w:autoSpaceDE w:val="0"/>
              <w:autoSpaceDN w:val="0"/>
              <w:adjustRightInd w:val="0"/>
              <w:jc w:val="center"/>
              <w:rPr>
                <w:rFonts w:cs="Arial"/>
                <w:sz w:val="18"/>
                <w:szCs w:val="18"/>
              </w:rPr>
            </w:pPr>
            <w:r w:rsidRPr="00AD358B">
              <w:rPr>
                <w:rFonts w:cs="Arial"/>
                <w:sz w:val="18"/>
                <w:szCs w:val="18"/>
              </w:rPr>
              <w:t>Air Dispersion Model Used</w:t>
            </w:r>
            <w:r w:rsidR="00E17B6D">
              <w:rPr>
                <w:rFonts w:cs="Arial"/>
                <w:sz w:val="18"/>
                <w:szCs w:val="18"/>
              </w:rPr>
              <w:t xml:space="preserve"> </w:t>
            </w:r>
            <w:r w:rsidRPr="00AD358B">
              <w:rPr>
                <w:rFonts w:cs="Arial"/>
                <w:sz w:val="18"/>
                <w:szCs w:val="18"/>
              </w:rPr>
              <w:t>(include version code)</w:t>
            </w:r>
          </w:p>
        </w:tc>
        <w:tc>
          <w:tcPr>
            <w:tcW w:w="500" w:type="pct"/>
            <w:shd w:val="clear" w:color="auto" w:fill="D9D9D9" w:themeFill="background1" w:themeFillShade="D9"/>
          </w:tcPr>
          <w:p w:rsidR="00AD358B" w:rsidRPr="00AD358B" w:rsidRDefault="00AD358B" w:rsidP="00E17B6D">
            <w:pPr>
              <w:autoSpaceDE w:val="0"/>
              <w:autoSpaceDN w:val="0"/>
              <w:adjustRightInd w:val="0"/>
              <w:jc w:val="center"/>
              <w:rPr>
                <w:rFonts w:cs="Arial"/>
                <w:sz w:val="18"/>
                <w:szCs w:val="18"/>
                <w:lang w:val="fr-CA"/>
              </w:rPr>
            </w:pPr>
            <w:r w:rsidRPr="00AD358B">
              <w:rPr>
                <w:rFonts w:cs="Arial"/>
                <w:sz w:val="18"/>
                <w:szCs w:val="18"/>
                <w:lang w:val="fr-CA"/>
              </w:rPr>
              <w:t>Maximum POI Concentration</w:t>
            </w:r>
            <w:r w:rsidR="00E17B6D">
              <w:rPr>
                <w:rFonts w:cs="Arial"/>
                <w:sz w:val="18"/>
                <w:szCs w:val="18"/>
                <w:lang w:val="fr-CA"/>
              </w:rPr>
              <w:t xml:space="preserve"> </w:t>
            </w:r>
            <w:r w:rsidRPr="00AD358B">
              <w:rPr>
                <w:rFonts w:cs="Arial"/>
                <w:sz w:val="18"/>
                <w:szCs w:val="18"/>
                <w:lang w:val="fr-CA"/>
              </w:rPr>
              <w:t>(µg/m</w:t>
            </w:r>
            <w:r w:rsidRPr="00AD358B">
              <w:rPr>
                <w:rFonts w:cs="Arial"/>
                <w:sz w:val="18"/>
                <w:szCs w:val="18"/>
                <w:vertAlign w:val="superscript"/>
                <w:lang w:val="fr-CA"/>
              </w:rPr>
              <w:t>3</w:t>
            </w:r>
            <w:r w:rsidRPr="00AD358B">
              <w:rPr>
                <w:rFonts w:cs="Arial"/>
                <w:sz w:val="18"/>
                <w:szCs w:val="18"/>
                <w:lang w:val="fr-CA"/>
              </w:rPr>
              <w:t>)</w:t>
            </w:r>
          </w:p>
        </w:tc>
        <w:tc>
          <w:tcPr>
            <w:tcW w:w="500" w:type="pct"/>
            <w:shd w:val="clear" w:color="auto" w:fill="D9D9D9" w:themeFill="background1" w:themeFillShade="D9"/>
          </w:tcPr>
          <w:p w:rsidR="00AD358B" w:rsidRPr="00AD358B" w:rsidRDefault="00AD358B" w:rsidP="00E17B6D">
            <w:pPr>
              <w:jc w:val="center"/>
              <w:rPr>
                <w:rFonts w:cs="Arial"/>
                <w:sz w:val="18"/>
                <w:szCs w:val="18"/>
              </w:rPr>
            </w:pPr>
            <w:r w:rsidRPr="00AD358B">
              <w:rPr>
                <w:rFonts w:cs="Arial"/>
                <w:sz w:val="18"/>
                <w:szCs w:val="18"/>
              </w:rPr>
              <w:t>Averaging Period</w:t>
            </w:r>
            <w:r w:rsidR="00E17B6D">
              <w:rPr>
                <w:rFonts w:cs="Arial"/>
                <w:sz w:val="18"/>
                <w:szCs w:val="18"/>
              </w:rPr>
              <w:t xml:space="preserve"> </w:t>
            </w:r>
            <w:r w:rsidRPr="00AD358B">
              <w:rPr>
                <w:rFonts w:cs="Arial"/>
                <w:sz w:val="18"/>
                <w:szCs w:val="18"/>
              </w:rPr>
              <w:t>(hours)</w:t>
            </w:r>
          </w:p>
        </w:tc>
        <w:tc>
          <w:tcPr>
            <w:tcW w:w="500" w:type="pct"/>
            <w:shd w:val="clear" w:color="auto" w:fill="D9D9D9" w:themeFill="background1" w:themeFillShade="D9"/>
          </w:tcPr>
          <w:p w:rsidR="00AD358B" w:rsidRPr="00AD358B" w:rsidRDefault="00AD358B" w:rsidP="00E17B6D">
            <w:pPr>
              <w:jc w:val="center"/>
              <w:rPr>
                <w:rFonts w:cs="Arial"/>
                <w:sz w:val="18"/>
                <w:szCs w:val="18"/>
              </w:rPr>
            </w:pPr>
            <w:r w:rsidRPr="00AD358B">
              <w:rPr>
                <w:rFonts w:cs="Arial"/>
                <w:sz w:val="18"/>
                <w:szCs w:val="18"/>
              </w:rPr>
              <w:t>Ministry POI Limit</w:t>
            </w:r>
            <w:r w:rsidR="00E17B6D">
              <w:rPr>
                <w:rFonts w:cs="Arial"/>
                <w:sz w:val="18"/>
                <w:szCs w:val="18"/>
              </w:rPr>
              <w:t xml:space="preserve"> </w:t>
            </w:r>
            <w:r w:rsidRPr="00AD358B">
              <w:rPr>
                <w:rFonts w:cs="Arial"/>
                <w:sz w:val="18"/>
                <w:szCs w:val="18"/>
              </w:rPr>
              <w:t>(µg/m</w:t>
            </w:r>
            <w:r w:rsidRPr="00AD358B">
              <w:rPr>
                <w:rFonts w:cs="Arial"/>
                <w:sz w:val="18"/>
                <w:szCs w:val="18"/>
                <w:vertAlign w:val="superscript"/>
              </w:rPr>
              <w:t>3</w:t>
            </w:r>
            <w:r w:rsidRPr="00AD358B">
              <w:rPr>
                <w:rFonts w:cs="Arial"/>
                <w:sz w:val="18"/>
                <w:szCs w:val="18"/>
              </w:rPr>
              <w:t>)</w:t>
            </w:r>
          </w:p>
        </w:tc>
        <w:tc>
          <w:tcPr>
            <w:tcW w:w="500" w:type="pct"/>
            <w:shd w:val="clear" w:color="auto" w:fill="D9D9D9" w:themeFill="background1" w:themeFillShade="D9"/>
          </w:tcPr>
          <w:p w:rsidR="00AD358B" w:rsidRPr="00AD358B" w:rsidRDefault="00AD358B" w:rsidP="00AD358B">
            <w:pPr>
              <w:autoSpaceDE w:val="0"/>
              <w:autoSpaceDN w:val="0"/>
              <w:adjustRightInd w:val="0"/>
              <w:jc w:val="center"/>
              <w:rPr>
                <w:rFonts w:cs="Arial"/>
                <w:sz w:val="18"/>
                <w:szCs w:val="18"/>
              </w:rPr>
            </w:pPr>
            <w:r w:rsidRPr="00AD358B">
              <w:rPr>
                <w:rFonts w:cs="Arial"/>
                <w:sz w:val="18"/>
                <w:szCs w:val="18"/>
              </w:rPr>
              <w:t>Limiting Effect</w:t>
            </w:r>
          </w:p>
        </w:tc>
        <w:tc>
          <w:tcPr>
            <w:tcW w:w="500" w:type="pct"/>
            <w:shd w:val="clear" w:color="auto" w:fill="D9D9D9" w:themeFill="background1" w:themeFillShade="D9"/>
          </w:tcPr>
          <w:p w:rsidR="00AD358B" w:rsidRPr="00AD358B" w:rsidRDefault="00AD358B" w:rsidP="00E17B6D">
            <w:pPr>
              <w:autoSpaceDE w:val="0"/>
              <w:autoSpaceDN w:val="0"/>
              <w:adjustRightInd w:val="0"/>
              <w:jc w:val="center"/>
              <w:rPr>
                <w:rFonts w:cs="Arial"/>
                <w:sz w:val="18"/>
                <w:szCs w:val="18"/>
              </w:rPr>
            </w:pPr>
            <w:r w:rsidRPr="00AD358B">
              <w:rPr>
                <w:rFonts w:cs="Arial"/>
                <w:sz w:val="18"/>
                <w:szCs w:val="18"/>
              </w:rPr>
              <w:t>Regulation</w:t>
            </w:r>
            <w:r w:rsidR="00E17B6D">
              <w:rPr>
                <w:rFonts w:cs="Arial"/>
                <w:sz w:val="18"/>
                <w:szCs w:val="18"/>
              </w:rPr>
              <w:t xml:space="preserve"> </w:t>
            </w:r>
            <w:r w:rsidRPr="00AD358B">
              <w:rPr>
                <w:rFonts w:cs="Arial"/>
                <w:sz w:val="18"/>
                <w:szCs w:val="18"/>
              </w:rPr>
              <w:t>Schedule #</w:t>
            </w:r>
          </w:p>
        </w:tc>
        <w:tc>
          <w:tcPr>
            <w:tcW w:w="500" w:type="pct"/>
            <w:shd w:val="clear" w:color="auto" w:fill="D9D9D9" w:themeFill="background1" w:themeFillShade="D9"/>
          </w:tcPr>
          <w:p w:rsidR="00AD358B" w:rsidRPr="006C2745" w:rsidRDefault="00AD358B" w:rsidP="00E17B6D">
            <w:pPr>
              <w:jc w:val="center"/>
              <w:rPr>
                <w:rFonts w:cs="Arial"/>
                <w:sz w:val="18"/>
                <w:szCs w:val="18"/>
              </w:rPr>
            </w:pPr>
            <w:r w:rsidRPr="006C2745">
              <w:rPr>
                <w:rFonts w:cs="Arial"/>
                <w:sz w:val="18"/>
                <w:szCs w:val="18"/>
              </w:rPr>
              <w:t>Percentage of Ministry POI Limit</w:t>
            </w:r>
            <w:r w:rsidR="00E17B6D">
              <w:rPr>
                <w:rFonts w:cs="Arial"/>
                <w:sz w:val="18"/>
                <w:szCs w:val="18"/>
              </w:rPr>
              <w:t xml:space="preserve"> </w:t>
            </w:r>
            <w:r w:rsidRPr="006C2745">
              <w:rPr>
                <w:rFonts w:cs="Arial"/>
                <w:sz w:val="18"/>
                <w:szCs w:val="18"/>
              </w:rPr>
              <w:t>(%)</w:t>
            </w:r>
          </w:p>
        </w:tc>
      </w:tr>
      <w:tr w:rsidR="00AD358B" w:rsidTr="00077125">
        <w:trPr>
          <w:tblHeader/>
        </w:trPr>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r>
      <w:tr w:rsidR="00AD358B" w:rsidTr="00077125">
        <w:trPr>
          <w:tblHeader/>
        </w:trPr>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r>
      <w:tr w:rsidR="00AD358B" w:rsidTr="00077125">
        <w:trPr>
          <w:tblHeader/>
        </w:trPr>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r>
      <w:tr w:rsidR="00AD358B" w:rsidTr="00077125">
        <w:trPr>
          <w:tblHeader/>
        </w:trPr>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c>
          <w:tcPr>
            <w:tcW w:w="500" w:type="pct"/>
          </w:tcPr>
          <w:p w:rsidR="00AD358B" w:rsidRDefault="00AD358B" w:rsidP="006157D7">
            <w:pPr>
              <w:rPr>
                <w:rFonts w:cs="Arial"/>
                <w:sz w:val="22"/>
              </w:rPr>
            </w:pPr>
          </w:p>
        </w:tc>
      </w:tr>
      <w:tr w:rsidR="00AD358B" w:rsidTr="00077125">
        <w:trPr>
          <w:tblHeader/>
        </w:trPr>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c>
          <w:tcPr>
            <w:tcW w:w="500" w:type="pct"/>
          </w:tcPr>
          <w:p w:rsidR="00AD358B" w:rsidRDefault="00AD358B" w:rsidP="006C2745">
            <w:pPr>
              <w:contextualSpacing/>
              <w:rPr>
                <w:rFonts w:cs="Arial"/>
                <w:sz w:val="22"/>
              </w:rPr>
            </w:pPr>
          </w:p>
        </w:tc>
      </w:tr>
    </w:tbl>
    <w:p w:rsidR="00AD358B" w:rsidRPr="00DF322A" w:rsidRDefault="00AD358B" w:rsidP="006C2745">
      <w:pPr>
        <w:spacing w:before="240"/>
        <w:jc w:val="both"/>
        <w:rPr>
          <w:rFonts w:cs="Arial"/>
          <w:sz w:val="22"/>
        </w:rPr>
      </w:pPr>
      <w:r w:rsidRPr="00DF322A">
        <w:rPr>
          <w:rFonts w:cs="Arial"/>
          <w:sz w:val="22"/>
        </w:rPr>
        <w:t>The term “Ministry POI Limit” identified in Table D-4 refers to the following information (there may be more than one relevant ministry POI Limit for each contaminant):</w:t>
      </w:r>
    </w:p>
    <w:p w:rsidR="00AD358B" w:rsidRPr="00DF322A" w:rsidRDefault="00AD358B" w:rsidP="006C2745">
      <w:pPr>
        <w:pStyle w:val="FootnoteText"/>
        <w:numPr>
          <w:ilvl w:val="0"/>
          <w:numId w:val="5"/>
        </w:numPr>
        <w:autoSpaceDE/>
        <w:autoSpaceDN/>
        <w:adjustRightInd/>
        <w:rPr>
          <w:rFonts w:cs="Arial"/>
          <w:sz w:val="22"/>
          <w:szCs w:val="22"/>
        </w:rPr>
      </w:pPr>
      <w:r w:rsidRPr="00DF322A">
        <w:rPr>
          <w:rFonts w:cs="Arial"/>
          <w:sz w:val="22"/>
          <w:szCs w:val="22"/>
        </w:rPr>
        <w:t>air standards in Schedules 2 and 3 of the Regulation; and</w:t>
      </w:r>
    </w:p>
    <w:p w:rsidR="00AD358B" w:rsidRPr="00DF322A" w:rsidRDefault="00AD358B" w:rsidP="006C2745">
      <w:pPr>
        <w:pStyle w:val="FootnoteText"/>
        <w:numPr>
          <w:ilvl w:val="0"/>
          <w:numId w:val="5"/>
        </w:numPr>
        <w:autoSpaceDE/>
        <w:autoSpaceDN/>
        <w:adjustRightInd/>
        <w:rPr>
          <w:rFonts w:cs="Arial"/>
          <w:sz w:val="22"/>
          <w:szCs w:val="22"/>
        </w:rPr>
      </w:pPr>
      <w:proofErr w:type="gramStart"/>
      <w:r w:rsidRPr="00DF322A">
        <w:rPr>
          <w:rFonts w:cs="Arial"/>
          <w:sz w:val="22"/>
          <w:szCs w:val="22"/>
        </w:rPr>
        <w:t>the</w:t>
      </w:r>
      <w:proofErr w:type="gramEnd"/>
      <w:r w:rsidRPr="00DF322A">
        <w:rPr>
          <w:rFonts w:cs="Arial"/>
          <w:sz w:val="22"/>
          <w:szCs w:val="22"/>
        </w:rPr>
        <w:t xml:space="preserve"> guidelines for contaminants set out the ministry publication, “Summary of Standards and Guidelines to Support Ontario Regulation 419: Air Pollution – Local Air Quality” (as amended) and can be found on the ministry’s web site.</w:t>
      </w:r>
    </w:p>
    <w:p w:rsidR="00AD358B" w:rsidRPr="00DF322A" w:rsidRDefault="00AD358B" w:rsidP="006C2745">
      <w:pPr>
        <w:pStyle w:val="FootnoteText"/>
        <w:numPr>
          <w:ilvl w:val="0"/>
          <w:numId w:val="5"/>
        </w:numPr>
        <w:autoSpaceDE/>
        <w:autoSpaceDN/>
        <w:adjustRightInd/>
        <w:rPr>
          <w:rFonts w:cs="Arial"/>
          <w:sz w:val="22"/>
          <w:szCs w:val="22"/>
        </w:rPr>
      </w:pPr>
      <w:proofErr w:type="gramStart"/>
      <w:r w:rsidRPr="00DF322A">
        <w:rPr>
          <w:rFonts w:cs="Arial"/>
          <w:sz w:val="22"/>
          <w:szCs w:val="22"/>
        </w:rPr>
        <w:t>an</w:t>
      </w:r>
      <w:proofErr w:type="gramEnd"/>
      <w:r w:rsidRPr="00DF322A">
        <w:rPr>
          <w:rFonts w:cs="Arial"/>
          <w:sz w:val="22"/>
          <w:szCs w:val="22"/>
        </w:rPr>
        <w:t xml:space="preserve"> acceptable concentration for contaminants with no standards or guidelines.  This may include reference to the </w:t>
      </w:r>
    </w:p>
    <w:p w:rsidR="00AD358B" w:rsidRPr="00DF322A" w:rsidRDefault="00AD358B" w:rsidP="006C2745">
      <w:pPr>
        <w:pStyle w:val="FootnoteText"/>
        <w:numPr>
          <w:ilvl w:val="2"/>
          <w:numId w:val="5"/>
        </w:numPr>
        <w:autoSpaceDE/>
        <w:autoSpaceDN/>
        <w:adjustRightInd/>
        <w:rPr>
          <w:rFonts w:cs="Arial"/>
          <w:sz w:val="22"/>
          <w:szCs w:val="22"/>
        </w:rPr>
      </w:pPr>
      <w:r w:rsidRPr="00DF322A">
        <w:rPr>
          <w:rFonts w:cs="Arial"/>
          <w:sz w:val="22"/>
          <w:szCs w:val="22"/>
        </w:rPr>
        <w:t>Jurisdictional Screening Levels (JSLs).</w:t>
      </w:r>
    </w:p>
    <w:p w:rsidR="00AD358B" w:rsidRPr="00DF322A" w:rsidRDefault="00AD358B" w:rsidP="006C2745">
      <w:pPr>
        <w:pStyle w:val="FootnoteText"/>
        <w:numPr>
          <w:ilvl w:val="0"/>
          <w:numId w:val="5"/>
        </w:numPr>
        <w:autoSpaceDE/>
        <w:autoSpaceDN/>
        <w:adjustRightInd/>
        <w:rPr>
          <w:rFonts w:cs="Arial"/>
          <w:sz w:val="22"/>
          <w:szCs w:val="22"/>
        </w:rPr>
      </w:pPr>
      <w:r w:rsidRPr="00DF322A">
        <w:rPr>
          <w:rFonts w:cs="Arial"/>
          <w:sz w:val="22"/>
          <w:szCs w:val="22"/>
        </w:rPr>
        <w:t>Note: if a facility is subject to section 20 and a contaminant has a standard (or guideline) with more than one averaging period, then the Emission Summary Table must include an assessment against each standard and its appropriate averaging period.</w:t>
      </w:r>
      <w:r w:rsidR="00AF62AA" w:rsidRPr="00DF322A">
        <w:rPr>
          <w:rFonts w:cs="Arial"/>
          <w:sz w:val="22"/>
          <w:szCs w:val="22"/>
        </w:rPr>
        <w:t xml:space="preserve"> </w:t>
      </w:r>
    </w:p>
    <w:p w:rsidR="009D45EC" w:rsidRPr="00AD358B" w:rsidRDefault="00AD358B" w:rsidP="006C2745">
      <w:pPr>
        <w:pStyle w:val="FootnoteText"/>
        <w:numPr>
          <w:ilvl w:val="0"/>
          <w:numId w:val="5"/>
        </w:numPr>
        <w:autoSpaceDE/>
        <w:autoSpaceDN/>
        <w:adjustRightInd/>
        <w:rPr>
          <w:rFonts w:cs="Arial"/>
          <w:sz w:val="22"/>
        </w:rPr>
      </w:pPr>
      <w:r w:rsidRPr="00DF322A">
        <w:rPr>
          <w:rFonts w:cs="Arial"/>
          <w:sz w:val="22"/>
          <w:szCs w:val="22"/>
        </w:rPr>
        <w:t>For contaminants with an annual standard, where applicable, the Emission Summary Table should a review against the standard with the annual averaging period as well as a review against the daily and annual “Assessment Vales”.  For more information on Assessment Values, please refer to the technical bulletin:  “Methodology for Assessment of Cont</w:t>
      </w:r>
      <w:bookmarkStart w:id="0" w:name="_GoBack"/>
      <w:bookmarkEnd w:id="0"/>
      <w:r w:rsidRPr="00DF322A">
        <w:rPr>
          <w:rFonts w:cs="Arial"/>
          <w:sz w:val="22"/>
          <w:szCs w:val="22"/>
        </w:rPr>
        <w:t>aminants with Annual Average Standards under O. Reg. 419/05” (as amended) and available on the ministry website.</w:t>
      </w:r>
    </w:p>
    <w:sectPr w:rsidR="009D45EC" w:rsidRPr="00AD358B" w:rsidSect="006C2745">
      <w:headerReference w:type="default" r:id="rId9"/>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E5" w:rsidRDefault="00E523E5" w:rsidP="00F72078">
      <w:pPr>
        <w:spacing w:after="0" w:line="240" w:lineRule="auto"/>
      </w:pPr>
      <w:r>
        <w:separator/>
      </w:r>
    </w:p>
  </w:endnote>
  <w:endnote w:type="continuationSeparator" w:id="0">
    <w:p w:rsidR="00E523E5" w:rsidRDefault="00E523E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E5" w:rsidRDefault="00E523E5" w:rsidP="00F72078">
      <w:pPr>
        <w:spacing w:after="0" w:line="240" w:lineRule="auto"/>
      </w:pPr>
      <w:r>
        <w:separator/>
      </w:r>
    </w:p>
  </w:footnote>
  <w:footnote w:type="continuationSeparator" w:id="0">
    <w:p w:rsidR="00E523E5" w:rsidRDefault="00E523E5"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16" w:rsidRPr="009C4278" w:rsidRDefault="00A37C8F" w:rsidP="00013A16">
    <w:pPr>
      <w:pStyle w:val="Header"/>
      <w:rPr>
        <w:sz w:val="22"/>
      </w:rPr>
    </w:pPr>
    <w:r w:rsidRPr="00A37C8F">
      <w:rPr>
        <w:sz w:val="22"/>
      </w:rPr>
      <w:t>Procedure for Preparing an Emission Summary and Dispersion Modelling Report</w:t>
    </w:r>
    <w:r w:rsidR="00013A16" w:rsidRPr="009C4278">
      <w:rPr>
        <w:sz w:val="22"/>
      </w:rPr>
      <w:t xml:space="preserve"> </w:t>
    </w:r>
  </w:p>
  <w:p w:rsidR="00013A16" w:rsidRPr="009C4278" w:rsidRDefault="00013A16" w:rsidP="00013A16">
    <w:pPr>
      <w:pStyle w:val="Header"/>
      <w:rPr>
        <w:sz w:val="22"/>
      </w:rPr>
    </w:pPr>
    <w:r w:rsidRPr="009C4278">
      <w:rPr>
        <w:sz w:val="22"/>
      </w:rPr>
      <w:t>Ministry of Environment and Climate Change</w:t>
    </w:r>
  </w:p>
  <w:p w:rsidR="00A37C8F" w:rsidRPr="006C2745" w:rsidRDefault="00E17B6D" w:rsidP="006C2745">
    <w:pPr>
      <w:pStyle w:val="Header"/>
      <w:spacing w:after="240"/>
      <w:rPr>
        <w:color w:val="5F5F5F" w:themeColor="hyperlink"/>
        <w:sz w:val="22"/>
        <w:u w:val="single"/>
      </w:rPr>
    </w:pPr>
    <w:hyperlink r:id="rId1" w:history="1">
      <w:proofErr w:type="gramStart"/>
      <w:r w:rsidR="00013A16" w:rsidRPr="009C4278">
        <w:rPr>
          <w:rStyle w:val="Hyperlink"/>
          <w:sz w:val="22"/>
        </w:rPr>
        <w:t>ontario.ca/environment</w:t>
      </w:r>
      <w:proofErr w:type="gramEnd"/>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3225"/>
    <w:multiLevelType w:val="multilevel"/>
    <w:tmpl w:val="0E58AD74"/>
    <w:lvl w:ilvl="0">
      <w:start w:val="1"/>
      <w:numFmt w:val="lowerRoman"/>
      <w:lvlText w:val="%1)"/>
      <w:lvlJc w:val="left"/>
      <w:pPr>
        <w:tabs>
          <w:tab w:val="num" w:pos="1080"/>
        </w:tabs>
        <w:ind w:left="1080" w:hanging="720"/>
      </w:pPr>
      <w:rPr>
        <w:rFonts w:hint="default"/>
        <w:u w:val="none"/>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EA140DA"/>
    <w:multiLevelType w:val="hybridMultilevel"/>
    <w:tmpl w:val="5D8AE9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3D7E60"/>
    <w:multiLevelType w:val="multilevel"/>
    <w:tmpl w:val="0E58AD74"/>
    <w:lvl w:ilvl="0">
      <w:start w:val="1"/>
      <w:numFmt w:val="lowerRoman"/>
      <w:lvlText w:val="%1)"/>
      <w:lvlJc w:val="left"/>
      <w:pPr>
        <w:tabs>
          <w:tab w:val="num" w:pos="1080"/>
        </w:tabs>
        <w:ind w:left="1080" w:hanging="720"/>
      </w:pPr>
      <w:rPr>
        <w:rFonts w:hint="default"/>
        <w:u w:val="none"/>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F2777B9"/>
    <w:multiLevelType w:val="hybridMultilevel"/>
    <w:tmpl w:val="709A663C"/>
    <w:lvl w:ilvl="0" w:tplc="4168B0D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D324D89"/>
    <w:multiLevelType w:val="hybridMultilevel"/>
    <w:tmpl w:val="7060A4A8"/>
    <w:lvl w:ilvl="0" w:tplc="4168B0DC">
      <w:start w:val="1"/>
      <w:numFmt w:val="decimal"/>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A2"/>
    <w:rsid w:val="000002F0"/>
    <w:rsid w:val="00013A16"/>
    <w:rsid w:val="00077125"/>
    <w:rsid w:val="000A0119"/>
    <w:rsid w:val="000A2B43"/>
    <w:rsid w:val="000F0DA2"/>
    <w:rsid w:val="001114E0"/>
    <w:rsid w:val="00167F6D"/>
    <w:rsid w:val="00171A2F"/>
    <w:rsid w:val="001C37B4"/>
    <w:rsid w:val="001F129E"/>
    <w:rsid w:val="00225BE4"/>
    <w:rsid w:val="00291764"/>
    <w:rsid w:val="002B5C18"/>
    <w:rsid w:val="002E6FF6"/>
    <w:rsid w:val="002F52DA"/>
    <w:rsid w:val="00317F1F"/>
    <w:rsid w:val="0036413B"/>
    <w:rsid w:val="003B5537"/>
    <w:rsid w:val="00404C1A"/>
    <w:rsid w:val="00423A44"/>
    <w:rsid w:val="00486E8D"/>
    <w:rsid w:val="00487378"/>
    <w:rsid w:val="004A2238"/>
    <w:rsid w:val="004A392D"/>
    <w:rsid w:val="004B347D"/>
    <w:rsid w:val="004B69F7"/>
    <w:rsid w:val="004D2857"/>
    <w:rsid w:val="004F1B03"/>
    <w:rsid w:val="004F20C3"/>
    <w:rsid w:val="0057735C"/>
    <w:rsid w:val="00624B02"/>
    <w:rsid w:val="006360E1"/>
    <w:rsid w:val="00695E04"/>
    <w:rsid w:val="006C2745"/>
    <w:rsid w:val="006C7751"/>
    <w:rsid w:val="006D72AA"/>
    <w:rsid w:val="00767151"/>
    <w:rsid w:val="007707B1"/>
    <w:rsid w:val="00794C32"/>
    <w:rsid w:val="007D6DDD"/>
    <w:rsid w:val="008E21DD"/>
    <w:rsid w:val="00913A6B"/>
    <w:rsid w:val="0096011B"/>
    <w:rsid w:val="009B1D63"/>
    <w:rsid w:val="009B65DE"/>
    <w:rsid w:val="009D45EC"/>
    <w:rsid w:val="00A201FC"/>
    <w:rsid w:val="00A37C8F"/>
    <w:rsid w:val="00A46F60"/>
    <w:rsid w:val="00A4736E"/>
    <w:rsid w:val="00A963FC"/>
    <w:rsid w:val="00AB38DB"/>
    <w:rsid w:val="00AD358B"/>
    <w:rsid w:val="00AD71CE"/>
    <w:rsid w:val="00AF62AA"/>
    <w:rsid w:val="00B149AA"/>
    <w:rsid w:val="00B5646F"/>
    <w:rsid w:val="00B90BDD"/>
    <w:rsid w:val="00B93223"/>
    <w:rsid w:val="00C029AC"/>
    <w:rsid w:val="00C14C66"/>
    <w:rsid w:val="00C442F5"/>
    <w:rsid w:val="00C93AB7"/>
    <w:rsid w:val="00CC034D"/>
    <w:rsid w:val="00CC576A"/>
    <w:rsid w:val="00D007C1"/>
    <w:rsid w:val="00D166A3"/>
    <w:rsid w:val="00D83F89"/>
    <w:rsid w:val="00D91FAE"/>
    <w:rsid w:val="00DA36AB"/>
    <w:rsid w:val="00DD081C"/>
    <w:rsid w:val="00DF322A"/>
    <w:rsid w:val="00E17B6D"/>
    <w:rsid w:val="00E27BA2"/>
    <w:rsid w:val="00E523E5"/>
    <w:rsid w:val="00F0547E"/>
    <w:rsid w:val="00F119E2"/>
    <w:rsid w:val="00F17B57"/>
    <w:rsid w:val="00F201B0"/>
    <w:rsid w:val="00F61F85"/>
    <w:rsid w:val="00F72078"/>
    <w:rsid w:val="00F7244A"/>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C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16"/>
    <w:rPr>
      <w:color w:val="5F5F5F" w:themeColor="hyperlink"/>
      <w:u w:val="single"/>
    </w:rPr>
  </w:style>
  <w:style w:type="character" w:styleId="FollowedHyperlink">
    <w:name w:val="FollowedHyperlink"/>
    <w:basedOn w:val="DefaultParagraphFont"/>
    <w:uiPriority w:val="99"/>
    <w:semiHidden/>
    <w:unhideWhenUsed/>
    <w:rsid w:val="00E27BA2"/>
    <w:rPr>
      <w:color w:val="919191" w:themeColor="followedHyperlink"/>
      <w:u w:val="single"/>
    </w:rPr>
  </w:style>
  <w:style w:type="paragraph" w:styleId="FootnoteText">
    <w:name w:val="footnote text"/>
    <w:basedOn w:val="Normal"/>
    <w:link w:val="FootnoteTextChar"/>
    <w:semiHidden/>
    <w:rsid w:val="00AD358B"/>
    <w:pPr>
      <w:autoSpaceDE w:val="0"/>
      <w:autoSpaceDN w:val="0"/>
      <w:adjustRightInd w:val="0"/>
      <w:spacing w:after="0" w:line="240" w:lineRule="auto"/>
    </w:pPr>
    <w:rPr>
      <w:rFonts w:ascii="Arial" w:eastAsia="Times New Roman" w:hAnsi="Arial" w:cs="Times New Roman"/>
      <w:szCs w:val="20"/>
      <w:lang w:val="en-US"/>
    </w:rPr>
  </w:style>
  <w:style w:type="character" w:customStyle="1" w:styleId="FootnoteTextChar">
    <w:name w:val="Footnote Text Char"/>
    <w:basedOn w:val="DefaultParagraphFont"/>
    <w:link w:val="FootnoteText"/>
    <w:semiHidden/>
    <w:rsid w:val="00AD358B"/>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C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16"/>
    <w:rPr>
      <w:color w:val="5F5F5F" w:themeColor="hyperlink"/>
      <w:u w:val="single"/>
    </w:rPr>
  </w:style>
  <w:style w:type="character" w:styleId="FollowedHyperlink">
    <w:name w:val="FollowedHyperlink"/>
    <w:basedOn w:val="DefaultParagraphFont"/>
    <w:uiPriority w:val="99"/>
    <w:semiHidden/>
    <w:unhideWhenUsed/>
    <w:rsid w:val="00E27BA2"/>
    <w:rPr>
      <w:color w:val="919191" w:themeColor="followedHyperlink"/>
      <w:u w:val="single"/>
    </w:rPr>
  </w:style>
  <w:style w:type="paragraph" w:styleId="FootnoteText">
    <w:name w:val="footnote text"/>
    <w:basedOn w:val="Normal"/>
    <w:link w:val="FootnoteTextChar"/>
    <w:semiHidden/>
    <w:rsid w:val="00AD358B"/>
    <w:pPr>
      <w:autoSpaceDE w:val="0"/>
      <w:autoSpaceDN w:val="0"/>
      <w:adjustRightInd w:val="0"/>
      <w:spacing w:after="0" w:line="240" w:lineRule="auto"/>
    </w:pPr>
    <w:rPr>
      <w:rFonts w:ascii="Arial" w:eastAsia="Times New Roman" w:hAnsi="Arial" w:cs="Times New Roman"/>
      <w:szCs w:val="20"/>
      <w:lang w:val="en-US"/>
    </w:rPr>
  </w:style>
  <w:style w:type="character" w:customStyle="1" w:styleId="FootnoteTextChar">
    <w:name w:val="Footnote Text Char"/>
    <w:basedOn w:val="DefaultParagraphFont"/>
    <w:link w:val="FootnoteText"/>
    <w:semiHidden/>
    <w:rsid w:val="00AD358B"/>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a/environmen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EC68-1604-4B02-A0D8-8612AE5D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Procedure for Preparing an Emission Summary and Dispersion Modelling (ESDM) Report - Appendix D tables</vt:lpstr>
    </vt:vector>
  </TitlesOfParts>
  <Company>MGS</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Preparing an Emission Summary and Dispersion Modelling (ESDM) Report - Appendix D tables</dc:title>
  <dc:creator>Ministry of Environment and Climate Change</dc:creator>
  <cp:lastModifiedBy>Leenamkwong, Nadine (MOECC)</cp:lastModifiedBy>
  <cp:revision>2</cp:revision>
  <dcterms:created xsi:type="dcterms:W3CDTF">2016-06-30T15:45:00Z</dcterms:created>
  <dcterms:modified xsi:type="dcterms:W3CDTF">2016-06-30T15:45:00Z</dcterms:modified>
</cp:coreProperties>
</file>