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6D" w:rsidRPr="008B3734" w:rsidRDefault="0010726D" w:rsidP="009C4278">
      <w:pPr>
        <w:pStyle w:val="Heading1"/>
        <w:spacing w:before="0"/>
      </w:pPr>
      <w:bookmarkStart w:id="0" w:name="_GoBack"/>
      <w:r>
        <w:t>Appendix A: Technology Benchmarking</w:t>
      </w:r>
      <w:r w:rsidRPr="00D53ACB">
        <w:t xml:space="preserve"> </w:t>
      </w:r>
      <w:r>
        <w:t xml:space="preserve">Reports </w:t>
      </w:r>
    </w:p>
    <w:bookmarkEnd w:id="0"/>
    <w:p w:rsidR="00B12B93" w:rsidRDefault="00F70E28" w:rsidP="00B12B93">
      <w:pPr>
        <w:pStyle w:val="Heading2"/>
        <w:spacing w:after="240"/>
      </w:pPr>
      <w:r>
        <w:t>Table A</w:t>
      </w:r>
      <w:r w:rsidR="008357BE">
        <w:t>-</w:t>
      </w:r>
      <w:r>
        <w:t xml:space="preserve">2-1: </w:t>
      </w:r>
      <w:r w:rsidR="0010726D" w:rsidRPr="009A091E">
        <w:t xml:space="preserve">Example </w:t>
      </w:r>
      <w:r w:rsidR="0010726D" w:rsidRPr="0010726D">
        <w:t xml:space="preserve">Table for Summarizing the Relative Source Contributions to Point of Impingement </w:t>
      </w:r>
      <w:r w:rsidR="0010726D">
        <w:t xml:space="preserve">(POI) </w:t>
      </w:r>
      <w:r w:rsidR="0010726D" w:rsidRPr="0010726D">
        <w:t>Concentrations of Contaminant “X”</w:t>
      </w:r>
    </w:p>
    <w:p w:rsidR="0010726D" w:rsidRPr="00300629" w:rsidRDefault="0010726D" w:rsidP="004E3964">
      <w:pPr>
        <w:pStyle w:val="Heading3"/>
      </w:pPr>
      <w:r w:rsidRPr="00300629">
        <w:t xml:space="preserve">Contaminant: </w:t>
      </w:r>
    </w:p>
    <w:tbl>
      <w:tblPr>
        <w:tblStyle w:val="TableGrid"/>
        <w:tblW w:w="5000" w:type="pct"/>
        <w:tblLook w:val="04A0" w:firstRow="1" w:lastRow="0" w:firstColumn="1" w:lastColumn="0" w:noHBand="0" w:noVBand="1"/>
        <w:tblDescription w:val="This is an example table for summarizing the relative source contributions to Point of Impingement (POI) concentrations for a specified Contaminant"/>
      </w:tblPr>
      <w:tblGrid>
        <w:gridCol w:w="2196"/>
        <w:gridCol w:w="2196"/>
        <w:gridCol w:w="2196"/>
        <w:gridCol w:w="2196"/>
        <w:gridCol w:w="2196"/>
        <w:gridCol w:w="2196"/>
      </w:tblGrid>
      <w:tr w:rsidR="0010726D" w:rsidTr="00B12B93">
        <w:trPr>
          <w:tblHeader/>
        </w:trPr>
        <w:tc>
          <w:tcPr>
            <w:tcW w:w="833" w:type="pct"/>
            <w:shd w:val="clear" w:color="auto" w:fill="D9D9D9" w:themeFill="background1" w:themeFillShade="D9"/>
            <w:vAlign w:val="center"/>
          </w:tcPr>
          <w:p w:rsidR="0010726D" w:rsidRDefault="0010726D" w:rsidP="00B12B93">
            <w:pPr>
              <w:jc w:val="center"/>
            </w:pPr>
            <w:r>
              <w:t>Source</w:t>
            </w:r>
          </w:p>
        </w:tc>
        <w:tc>
          <w:tcPr>
            <w:tcW w:w="833" w:type="pct"/>
            <w:shd w:val="clear" w:color="auto" w:fill="D9D9D9" w:themeFill="background1" w:themeFillShade="D9"/>
            <w:vAlign w:val="center"/>
          </w:tcPr>
          <w:p w:rsidR="0010726D" w:rsidRDefault="0010726D" w:rsidP="00B12B93">
            <w:pPr>
              <w:spacing w:before="240"/>
              <w:contextualSpacing/>
              <w:jc w:val="center"/>
            </w:pPr>
            <w:r>
              <w:t>Emission</w:t>
            </w:r>
            <w:r w:rsidR="00B12B93">
              <w:t xml:space="preserve"> </w:t>
            </w:r>
            <w:r>
              <w:t>(g/s)</w:t>
            </w:r>
          </w:p>
        </w:tc>
        <w:tc>
          <w:tcPr>
            <w:tcW w:w="833" w:type="pct"/>
            <w:shd w:val="clear" w:color="auto" w:fill="D9D9D9" w:themeFill="background1" w:themeFillShade="D9"/>
            <w:vAlign w:val="center"/>
          </w:tcPr>
          <w:p w:rsidR="0010726D" w:rsidRDefault="0010726D" w:rsidP="00B12B93">
            <w:pPr>
              <w:spacing w:before="240"/>
              <w:contextualSpacing/>
              <w:jc w:val="center"/>
            </w:pPr>
            <w:r>
              <w:t>Total Emissions</w:t>
            </w:r>
            <w:r w:rsidR="00B12B93">
              <w:t xml:space="preserve"> </w:t>
            </w:r>
            <w:r>
              <w:t>(%)</w:t>
            </w:r>
          </w:p>
        </w:tc>
        <w:tc>
          <w:tcPr>
            <w:tcW w:w="833" w:type="pct"/>
            <w:shd w:val="clear" w:color="auto" w:fill="D9D9D9" w:themeFill="background1" w:themeFillShade="D9"/>
            <w:vAlign w:val="center"/>
          </w:tcPr>
          <w:p w:rsidR="0010726D" w:rsidRDefault="0010726D" w:rsidP="00B12B93">
            <w:pPr>
              <w:spacing w:before="240"/>
              <w:contextualSpacing/>
              <w:jc w:val="center"/>
            </w:pPr>
            <w:r>
              <w:t>Percent Contribution to POI At Point of Maximum Concentration</w:t>
            </w:r>
          </w:p>
        </w:tc>
        <w:tc>
          <w:tcPr>
            <w:tcW w:w="833" w:type="pct"/>
            <w:shd w:val="clear" w:color="auto" w:fill="D9D9D9" w:themeFill="background1" w:themeFillShade="D9"/>
            <w:vAlign w:val="center"/>
          </w:tcPr>
          <w:p w:rsidR="0010726D" w:rsidRDefault="0010726D" w:rsidP="00B12B93">
            <w:pPr>
              <w:spacing w:before="240"/>
              <w:contextualSpacing/>
              <w:jc w:val="center"/>
            </w:pPr>
            <w:r>
              <w:t>Percent Contribution to POI At Receptor 1</w:t>
            </w:r>
          </w:p>
          <w:p w:rsidR="0010726D" w:rsidRDefault="0010726D" w:rsidP="00B12B93">
            <w:pPr>
              <w:spacing w:before="240"/>
              <w:contextualSpacing/>
              <w:jc w:val="center"/>
            </w:pPr>
          </w:p>
        </w:tc>
        <w:tc>
          <w:tcPr>
            <w:tcW w:w="833" w:type="pct"/>
            <w:shd w:val="clear" w:color="auto" w:fill="D9D9D9" w:themeFill="background1" w:themeFillShade="D9"/>
            <w:vAlign w:val="center"/>
          </w:tcPr>
          <w:p w:rsidR="0010726D" w:rsidRDefault="0010726D" w:rsidP="00B12B93">
            <w:pPr>
              <w:spacing w:before="240"/>
              <w:contextualSpacing/>
              <w:jc w:val="center"/>
            </w:pPr>
            <w:r>
              <w:t>Percent Contribution to POI At Receptor 2</w:t>
            </w:r>
          </w:p>
          <w:p w:rsidR="0010726D" w:rsidRDefault="0010726D" w:rsidP="00B12B93">
            <w:pPr>
              <w:spacing w:before="240"/>
              <w:contextualSpacing/>
              <w:jc w:val="center"/>
            </w:pPr>
          </w:p>
        </w:tc>
      </w:tr>
      <w:tr w:rsidR="0010726D" w:rsidTr="00DC2407">
        <w:trPr>
          <w:tblHeader/>
        </w:trPr>
        <w:tc>
          <w:tcPr>
            <w:tcW w:w="833" w:type="pct"/>
          </w:tcPr>
          <w:p w:rsidR="0010726D" w:rsidRDefault="0010726D" w:rsidP="00B12B93">
            <w:r>
              <w:t>Source 1</w:t>
            </w:r>
          </w:p>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r>
      <w:tr w:rsidR="0010726D" w:rsidTr="00DC2407">
        <w:trPr>
          <w:tblHeader/>
        </w:trPr>
        <w:tc>
          <w:tcPr>
            <w:tcW w:w="833" w:type="pct"/>
          </w:tcPr>
          <w:p w:rsidR="0010726D" w:rsidRDefault="0010726D" w:rsidP="00B12B93">
            <w:r>
              <w:t>Source 2</w:t>
            </w:r>
          </w:p>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r>
      <w:tr w:rsidR="0010726D" w:rsidTr="00DC2407">
        <w:trPr>
          <w:tblHeader/>
        </w:trPr>
        <w:tc>
          <w:tcPr>
            <w:tcW w:w="833" w:type="pct"/>
          </w:tcPr>
          <w:p w:rsidR="0010726D" w:rsidRDefault="0010726D" w:rsidP="00B12B93">
            <w:r>
              <w:t>Source 3</w:t>
            </w:r>
          </w:p>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r>
      <w:tr w:rsidR="0010726D" w:rsidTr="00DC2407">
        <w:trPr>
          <w:tblHeader/>
        </w:trPr>
        <w:tc>
          <w:tcPr>
            <w:tcW w:w="833" w:type="pct"/>
          </w:tcPr>
          <w:p w:rsidR="0010726D" w:rsidRDefault="0010726D" w:rsidP="00B12B93">
            <w:r>
              <w:t xml:space="preserve">Totals </w:t>
            </w:r>
          </w:p>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c>
          <w:tcPr>
            <w:tcW w:w="833" w:type="pct"/>
          </w:tcPr>
          <w:p w:rsidR="0010726D" w:rsidRDefault="0010726D" w:rsidP="00B12B93"/>
        </w:tc>
      </w:tr>
    </w:tbl>
    <w:p w:rsidR="00B12B93" w:rsidRDefault="00B12B93" w:rsidP="00DC2407"/>
    <w:tbl>
      <w:tblPr>
        <w:tblStyle w:val="TableGrid"/>
        <w:tblW w:w="5000" w:type="pct"/>
        <w:tblLook w:val="04A0" w:firstRow="1" w:lastRow="0" w:firstColumn="1" w:lastColumn="0" w:noHBand="0" w:noVBand="1"/>
        <w:tblDescription w:val="This table identifies the date and time of the Point of Impingement (POI) concentration for a specified Contaminant at a certain location."/>
      </w:tblPr>
      <w:tblGrid>
        <w:gridCol w:w="4391"/>
        <w:gridCol w:w="4391"/>
        <w:gridCol w:w="4394"/>
      </w:tblGrid>
      <w:tr w:rsidR="00E507F9" w:rsidTr="00DC2407">
        <w:trPr>
          <w:trHeight w:val="620"/>
          <w:tblHeader/>
        </w:trPr>
        <w:tc>
          <w:tcPr>
            <w:tcW w:w="1666" w:type="pct"/>
            <w:shd w:val="clear" w:color="auto" w:fill="D9D9D9" w:themeFill="background1" w:themeFillShade="D9"/>
          </w:tcPr>
          <w:p w:rsidR="00E507F9" w:rsidRPr="0010726D" w:rsidRDefault="00E507F9" w:rsidP="00A940CB">
            <w:pPr>
              <w:jc w:val="center"/>
            </w:pPr>
            <w:r>
              <w:t>Location</w:t>
            </w:r>
          </w:p>
        </w:tc>
        <w:tc>
          <w:tcPr>
            <w:tcW w:w="1666" w:type="pct"/>
            <w:shd w:val="clear" w:color="auto" w:fill="D9D9D9" w:themeFill="background1" w:themeFillShade="D9"/>
          </w:tcPr>
          <w:p w:rsidR="00E507F9" w:rsidRDefault="00E507F9" w:rsidP="00E507F9">
            <w:pPr>
              <w:jc w:val="center"/>
            </w:pPr>
            <w:r>
              <w:t>Date of Maximum POI Concentration</w:t>
            </w:r>
          </w:p>
          <w:p w:rsidR="00E507F9" w:rsidRDefault="00E507F9" w:rsidP="00E507F9">
            <w:pPr>
              <w:jc w:val="center"/>
            </w:pPr>
            <w:r>
              <w:t>(</w:t>
            </w:r>
            <w:proofErr w:type="spellStart"/>
            <w:r>
              <w:t>dd</w:t>
            </w:r>
            <w:proofErr w:type="spellEnd"/>
            <w:r>
              <w:t>/mm/</w:t>
            </w:r>
            <w:proofErr w:type="spellStart"/>
            <w:r>
              <w:t>yy</w:t>
            </w:r>
            <w:proofErr w:type="spellEnd"/>
            <w:r>
              <w:t>)</w:t>
            </w:r>
          </w:p>
        </w:tc>
        <w:tc>
          <w:tcPr>
            <w:tcW w:w="1667" w:type="pct"/>
            <w:shd w:val="clear" w:color="auto" w:fill="D9D9D9" w:themeFill="background1" w:themeFillShade="D9"/>
          </w:tcPr>
          <w:p w:rsidR="00E507F9" w:rsidRDefault="00E507F9" w:rsidP="00A940CB">
            <w:pPr>
              <w:jc w:val="center"/>
            </w:pPr>
            <w:r>
              <w:t>Time of Maximum POI Concentration</w:t>
            </w:r>
          </w:p>
          <w:p w:rsidR="00E507F9" w:rsidRDefault="00E507F9" w:rsidP="00E507F9">
            <w:pPr>
              <w:jc w:val="center"/>
            </w:pPr>
            <w:r>
              <w:t>(</w:t>
            </w:r>
            <w:proofErr w:type="spellStart"/>
            <w:r>
              <w:t>hh:mm:ss</w:t>
            </w:r>
            <w:proofErr w:type="spellEnd"/>
            <w:r>
              <w:t>)</w:t>
            </w:r>
          </w:p>
        </w:tc>
      </w:tr>
      <w:tr w:rsidR="00E507F9" w:rsidTr="00DC2407">
        <w:trPr>
          <w:trHeight w:val="279"/>
          <w:tblHeader/>
        </w:trPr>
        <w:tc>
          <w:tcPr>
            <w:tcW w:w="1666" w:type="pct"/>
          </w:tcPr>
          <w:p w:rsidR="00E507F9" w:rsidRDefault="00E507F9" w:rsidP="00E507F9">
            <w:r>
              <w:t>Point of Maximum Concentration</w:t>
            </w:r>
          </w:p>
        </w:tc>
        <w:tc>
          <w:tcPr>
            <w:tcW w:w="1666" w:type="pct"/>
          </w:tcPr>
          <w:p w:rsidR="00E507F9" w:rsidRDefault="00E507F9" w:rsidP="00A940CB"/>
        </w:tc>
        <w:tc>
          <w:tcPr>
            <w:tcW w:w="1667" w:type="pct"/>
          </w:tcPr>
          <w:p w:rsidR="00E507F9" w:rsidRDefault="00E507F9" w:rsidP="00A940CB"/>
        </w:tc>
      </w:tr>
      <w:tr w:rsidR="00E507F9" w:rsidTr="00DC2407">
        <w:trPr>
          <w:trHeight w:val="279"/>
          <w:tblHeader/>
        </w:trPr>
        <w:tc>
          <w:tcPr>
            <w:tcW w:w="1666" w:type="pct"/>
          </w:tcPr>
          <w:p w:rsidR="00E507F9" w:rsidRDefault="00E507F9" w:rsidP="00E507F9">
            <w:r>
              <w:t>Receptor 1</w:t>
            </w:r>
          </w:p>
        </w:tc>
        <w:tc>
          <w:tcPr>
            <w:tcW w:w="1666" w:type="pct"/>
          </w:tcPr>
          <w:p w:rsidR="00E507F9" w:rsidRDefault="00E507F9" w:rsidP="00A940CB"/>
        </w:tc>
        <w:tc>
          <w:tcPr>
            <w:tcW w:w="1667" w:type="pct"/>
          </w:tcPr>
          <w:p w:rsidR="00E507F9" w:rsidRDefault="00E507F9" w:rsidP="00A940CB"/>
        </w:tc>
      </w:tr>
      <w:tr w:rsidR="00E507F9" w:rsidTr="00DC2407">
        <w:trPr>
          <w:trHeight w:val="279"/>
          <w:tblHeader/>
        </w:trPr>
        <w:tc>
          <w:tcPr>
            <w:tcW w:w="1666" w:type="pct"/>
          </w:tcPr>
          <w:p w:rsidR="00E507F9" w:rsidRDefault="00E507F9" w:rsidP="00E507F9">
            <w:r>
              <w:t>Receptor 2</w:t>
            </w:r>
          </w:p>
        </w:tc>
        <w:tc>
          <w:tcPr>
            <w:tcW w:w="1666" w:type="pct"/>
          </w:tcPr>
          <w:p w:rsidR="00E507F9" w:rsidRDefault="00E507F9" w:rsidP="00A940CB"/>
        </w:tc>
        <w:tc>
          <w:tcPr>
            <w:tcW w:w="1667" w:type="pct"/>
          </w:tcPr>
          <w:p w:rsidR="00E507F9" w:rsidRDefault="00E507F9" w:rsidP="00A940CB"/>
        </w:tc>
      </w:tr>
    </w:tbl>
    <w:p w:rsidR="00E619CE" w:rsidRPr="00F70E28" w:rsidRDefault="00F70E28" w:rsidP="00B12B93">
      <w:pPr>
        <w:spacing w:before="240"/>
        <w:rPr>
          <w:sz w:val="20"/>
          <w:szCs w:val="20"/>
        </w:rPr>
      </w:pPr>
      <w:r w:rsidRPr="00F70E28">
        <w:rPr>
          <w:sz w:val="20"/>
          <w:szCs w:val="20"/>
        </w:rPr>
        <w:t xml:space="preserve">There are additional tables that may also be prepared.  These tables may help in clarifying to the reader which sources are the dominant in terms of POI exposures and hence which are important to control for the facility.  This dominant source analysis can be useful in presenting the results at public meetings.  For example, Table </w:t>
      </w:r>
      <w:r>
        <w:rPr>
          <w:sz w:val="20"/>
          <w:szCs w:val="20"/>
        </w:rPr>
        <w:t>A</w:t>
      </w:r>
      <w:r w:rsidR="008357BE">
        <w:rPr>
          <w:sz w:val="20"/>
          <w:szCs w:val="20"/>
        </w:rPr>
        <w:t>-</w:t>
      </w:r>
      <w:r w:rsidRPr="00F70E28">
        <w:rPr>
          <w:sz w:val="20"/>
          <w:szCs w:val="20"/>
        </w:rPr>
        <w:t>2-2 Example Table for Summarizing the Maximum Concentrations of Each Source of Contaminant “X” presents the maximum POI concentrations from each source individually.  This table provides useful information that can be used to determine the success of a pollution control option or strategy on a source and/or at a receptor.</w:t>
      </w:r>
      <w:r w:rsidR="00E619CE" w:rsidRPr="00F70E28">
        <w:rPr>
          <w:sz w:val="20"/>
          <w:szCs w:val="20"/>
        </w:rPr>
        <w:br w:type="page"/>
      </w:r>
    </w:p>
    <w:p w:rsidR="00E619CE" w:rsidRDefault="00F70E28" w:rsidP="009C4278">
      <w:pPr>
        <w:pStyle w:val="Heading2"/>
      </w:pPr>
      <w:r>
        <w:lastRenderedPageBreak/>
        <w:t>Table A</w:t>
      </w:r>
      <w:r w:rsidR="008357BE">
        <w:t>-</w:t>
      </w:r>
      <w:r>
        <w:t xml:space="preserve">2-2: </w:t>
      </w:r>
      <w:r w:rsidR="00E619CE" w:rsidRPr="00E619CE">
        <w:t>Example</w:t>
      </w:r>
      <w:r w:rsidR="00E619CE" w:rsidRPr="009A091E">
        <w:t xml:space="preserve"> </w:t>
      </w:r>
      <w:r w:rsidR="00E619CE" w:rsidRPr="00F96DDE">
        <w:t xml:space="preserve">Table for Summarizing the Maximum </w:t>
      </w:r>
      <w:r w:rsidR="00E619CE">
        <w:t>C</w:t>
      </w:r>
      <w:r w:rsidR="00E619CE" w:rsidRPr="00F96DDE">
        <w:t>oncentrations of Each Source of Contaminant “X”</w:t>
      </w:r>
    </w:p>
    <w:p w:rsidR="00E619CE" w:rsidRPr="00AA5A2F" w:rsidRDefault="00E619CE" w:rsidP="004E3964">
      <w:pPr>
        <w:pStyle w:val="Heading3"/>
      </w:pPr>
      <w:r w:rsidRPr="00AA5A2F">
        <w:t xml:space="preserve">Contaminant: </w:t>
      </w:r>
    </w:p>
    <w:tbl>
      <w:tblPr>
        <w:tblStyle w:val="TableGrid"/>
        <w:tblW w:w="13012" w:type="dxa"/>
        <w:tblLayout w:type="fixed"/>
        <w:tblLook w:val="04A0" w:firstRow="1" w:lastRow="0" w:firstColumn="1" w:lastColumn="0" w:noHBand="0" w:noVBand="1"/>
        <w:tblDescription w:val="This is an example  of a table for summarizing the maximum concentrations of each source of a specified Contaminant"/>
      </w:tblPr>
      <w:tblGrid>
        <w:gridCol w:w="1182"/>
        <w:gridCol w:w="1183"/>
        <w:gridCol w:w="1183"/>
        <w:gridCol w:w="1183"/>
        <w:gridCol w:w="1183"/>
        <w:gridCol w:w="1183"/>
        <w:gridCol w:w="1183"/>
        <w:gridCol w:w="1183"/>
        <w:gridCol w:w="1183"/>
        <w:gridCol w:w="1183"/>
        <w:gridCol w:w="1183"/>
      </w:tblGrid>
      <w:tr w:rsidR="00E619CE" w:rsidTr="004E3964">
        <w:trPr>
          <w:trHeight w:val="288"/>
          <w:tblHeader/>
        </w:trPr>
        <w:tc>
          <w:tcPr>
            <w:tcW w:w="1182"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Source</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Receptor</w:t>
            </w:r>
            <w:r w:rsidR="00B12B93" w:rsidRPr="00B12B93">
              <w:rPr>
                <w:sz w:val="20"/>
                <w:szCs w:val="20"/>
              </w:rPr>
              <w:t xml:space="preserve"> </w:t>
            </w:r>
            <w:r w:rsidRPr="00B12B93">
              <w:rPr>
                <w:sz w:val="20"/>
                <w:szCs w:val="20"/>
              </w:rPr>
              <w:t>Location</w:t>
            </w:r>
            <w:r w:rsidR="00B12B93" w:rsidRPr="00B12B93">
              <w:rPr>
                <w:sz w:val="20"/>
                <w:szCs w:val="20"/>
              </w:rPr>
              <w:t xml:space="preserve"> </w:t>
            </w:r>
            <w:r w:rsidRPr="00B12B93">
              <w:rPr>
                <w:sz w:val="20"/>
                <w:szCs w:val="20"/>
              </w:rPr>
              <w:t>(</w:t>
            </w:r>
            <w:proofErr w:type="spellStart"/>
            <w:r w:rsidRPr="00B12B93">
              <w:rPr>
                <w:sz w:val="20"/>
                <w:szCs w:val="20"/>
              </w:rPr>
              <w:t>m.m</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Receptor</w:t>
            </w:r>
            <w:r w:rsidR="00B12B93" w:rsidRPr="00B12B93">
              <w:rPr>
                <w:sz w:val="20"/>
                <w:szCs w:val="20"/>
              </w:rPr>
              <w:t xml:space="preserve"> </w:t>
            </w:r>
            <w:r w:rsidRPr="00B12B93">
              <w:rPr>
                <w:sz w:val="20"/>
                <w:szCs w:val="20"/>
              </w:rPr>
              <w:t>Date</w:t>
            </w:r>
            <w:r w:rsidR="00B12B93" w:rsidRPr="00B12B93">
              <w:rPr>
                <w:sz w:val="20"/>
                <w:szCs w:val="20"/>
              </w:rPr>
              <w:t xml:space="preserve"> </w:t>
            </w:r>
            <w:r w:rsidRPr="00B12B93">
              <w:rPr>
                <w:sz w:val="20"/>
                <w:szCs w:val="20"/>
              </w:rPr>
              <w:t>(</w:t>
            </w:r>
            <w:proofErr w:type="spellStart"/>
            <w:r w:rsidRPr="00B12B93">
              <w:rPr>
                <w:sz w:val="20"/>
                <w:szCs w:val="20"/>
              </w:rPr>
              <w:t>dd</w:t>
            </w:r>
            <w:proofErr w:type="spellEnd"/>
            <w:r w:rsidRPr="00B12B93">
              <w:rPr>
                <w:sz w:val="20"/>
                <w:szCs w:val="20"/>
              </w:rPr>
              <w:t>/mm/</w:t>
            </w:r>
            <w:proofErr w:type="spellStart"/>
            <w:r w:rsidRPr="00B12B93">
              <w:rPr>
                <w:sz w:val="20"/>
                <w:szCs w:val="20"/>
              </w:rPr>
              <w:t>yy</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Receptor</w:t>
            </w:r>
            <w:r w:rsidR="00B12B93" w:rsidRPr="00B12B93">
              <w:rPr>
                <w:sz w:val="20"/>
                <w:szCs w:val="20"/>
              </w:rPr>
              <w:t xml:space="preserve"> </w:t>
            </w:r>
            <w:r w:rsidRPr="00B12B93">
              <w:rPr>
                <w:sz w:val="20"/>
                <w:szCs w:val="20"/>
              </w:rPr>
              <w:t>Time</w:t>
            </w:r>
            <w:r w:rsidR="00B12B93" w:rsidRPr="00B12B93">
              <w:rPr>
                <w:sz w:val="20"/>
                <w:szCs w:val="20"/>
              </w:rPr>
              <w:t xml:space="preserve"> </w:t>
            </w:r>
            <w:r w:rsidRPr="00B12B93">
              <w:rPr>
                <w:sz w:val="20"/>
                <w:szCs w:val="20"/>
              </w:rPr>
              <w:t>(</w:t>
            </w:r>
            <w:proofErr w:type="spellStart"/>
            <w:r w:rsidRPr="00B12B93">
              <w:rPr>
                <w:sz w:val="20"/>
                <w:szCs w:val="20"/>
              </w:rPr>
              <w:t>hh:mm:ss</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Receptor Concentration</w:t>
            </w:r>
            <w:r w:rsidR="00B12B93" w:rsidRPr="00B12B93">
              <w:rPr>
                <w:sz w:val="20"/>
                <w:szCs w:val="20"/>
              </w:rPr>
              <w:t xml:space="preserve"> </w:t>
            </w:r>
            <w:r w:rsidRPr="00B12B93">
              <w:rPr>
                <w:sz w:val="20"/>
                <w:szCs w:val="20"/>
              </w:rPr>
              <w:t>(µg/m</w:t>
            </w:r>
            <w:r w:rsidRPr="00B12B93">
              <w:rPr>
                <w:sz w:val="20"/>
                <w:szCs w:val="20"/>
                <w:vertAlign w:val="superscript"/>
              </w:rPr>
              <w:t>3</w:t>
            </w:r>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1</w:t>
            </w:r>
            <w:r w:rsidR="00B12B93" w:rsidRPr="00B12B93">
              <w:rPr>
                <w:sz w:val="20"/>
                <w:szCs w:val="20"/>
              </w:rPr>
              <w:t xml:space="preserve"> </w:t>
            </w:r>
            <w:r w:rsidRPr="00B12B93">
              <w:rPr>
                <w:sz w:val="20"/>
                <w:szCs w:val="20"/>
              </w:rPr>
              <w:t>Date</w:t>
            </w:r>
            <w:r w:rsidR="00B12B93" w:rsidRPr="00B12B93">
              <w:rPr>
                <w:sz w:val="20"/>
                <w:szCs w:val="20"/>
              </w:rPr>
              <w:t xml:space="preserve"> </w:t>
            </w:r>
            <w:r w:rsidRPr="00B12B93">
              <w:rPr>
                <w:sz w:val="20"/>
                <w:szCs w:val="20"/>
              </w:rPr>
              <w:t>(</w:t>
            </w:r>
            <w:proofErr w:type="spellStart"/>
            <w:r w:rsidRPr="00B12B93">
              <w:rPr>
                <w:sz w:val="20"/>
                <w:szCs w:val="20"/>
              </w:rPr>
              <w:t>dd</w:t>
            </w:r>
            <w:proofErr w:type="spellEnd"/>
            <w:r w:rsidRPr="00B12B93">
              <w:rPr>
                <w:sz w:val="20"/>
                <w:szCs w:val="20"/>
              </w:rPr>
              <w:t>/mm/</w:t>
            </w:r>
            <w:proofErr w:type="spellStart"/>
            <w:r w:rsidRPr="00B12B93">
              <w:rPr>
                <w:sz w:val="20"/>
                <w:szCs w:val="20"/>
              </w:rPr>
              <w:t>yy</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1</w:t>
            </w:r>
            <w:r w:rsidR="00B12B93" w:rsidRPr="00B12B93">
              <w:rPr>
                <w:sz w:val="20"/>
                <w:szCs w:val="20"/>
              </w:rPr>
              <w:t xml:space="preserve"> </w:t>
            </w:r>
            <w:r w:rsidRPr="00B12B93">
              <w:rPr>
                <w:sz w:val="20"/>
                <w:szCs w:val="20"/>
              </w:rPr>
              <w:t>Time</w:t>
            </w:r>
            <w:r w:rsidR="00B12B93" w:rsidRPr="00B12B93">
              <w:rPr>
                <w:sz w:val="20"/>
                <w:szCs w:val="20"/>
              </w:rPr>
              <w:t xml:space="preserve"> </w:t>
            </w:r>
            <w:r w:rsidRPr="00B12B93">
              <w:rPr>
                <w:sz w:val="20"/>
                <w:szCs w:val="20"/>
              </w:rPr>
              <w:t>(</w:t>
            </w:r>
            <w:proofErr w:type="spellStart"/>
            <w:r w:rsidRPr="00B12B93">
              <w:rPr>
                <w:sz w:val="20"/>
                <w:szCs w:val="20"/>
              </w:rPr>
              <w:t>hh:mm:ss</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1</w:t>
            </w:r>
            <w:r w:rsidR="00B12B93" w:rsidRPr="00B12B93">
              <w:rPr>
                <w:sz w:val="20"/>
                <w:szCs w:val="20"/>
              </w:rPr>
              <w:t xml:space="preserve"> </w:t>
            </w:r>
            <w:r w:rsidRPr="00B12B93">
              <w:rPr>
                <w:sz w:val="20"/>
                <w:szCs w:val="20"/>
              </w:rPr>
              <w:t>Concentration</w:t>
            </w:r>
            <w:r w:rsidR="00B12B93" w:rsidRPr="00B12B93">
              <w:rPr>
                <w:sz w:val="20"/>
                <w:szCs w:val="20"/>
              </w:rPr>
              <w:t xml:space="preserve"> </w:t>
            </w:r>
            <w:r w:rsidRPr="00B12B93">
              <w:rPr>
                <w:sz w:val="20"/>
                <w:szCs w:val="20"/>
              </w:rPr>
              <w:t>(µg/m</w:t>
            </w:r>
            <w:r w:rsidRPr="00B12B93">
              <w:rPr>
                <w:sz w:val="20"/>
                <w:szCs w:val="20"/>
                <w:vertAlign w:val="superscript"/>
              </w:rPr>
              <w:t>3</w:t>
            </w:r>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2</w:t>
            </w:r>
            <w:r w:rsidR="00B12B93" w:rsidRPr="00B12B93">
              <w:rPr>
                <w:sz w:val="20"/>
                <w:szCs w:val="20"/>
              </w:rPr>
              <w:t xml:space="preserve"> </w:t>
            </w:r>
            <w:r w:rsidRPr="00B12B93">
              <w:rPr>
                <w:sz w:val="20"/>
                <w:szCs w:val="20"/>
              </w:rPr>
              <w:t>Date</w:t>
            </w:r>
            <w:r w:rsidR="00B12B93" w:rsidRPr="00B12B93">
              <w:rPr>
                <w:sz w:val="20"/>
                <w:szCs w:val="20"/>
              </w:rPr>
              <w:t xml:space="preserve"> </w:t>
            </w:r>
            <w:r w:rsidRPr="00B12B93">
              <w:rPr>
                <w:sz w:val="20"/>
                <w:szCs w:val="20"/>
              </w:rPr>
              <w:t>(</w:t>
            </w:r>
            <w:proofErr w:type="spellStart"/>
            <w:r w:rsidRPr="00B12B93">
              <w:rPr>
                <w:sz w:val="20"/>
                <w:szCs w:val="20"/>
              </w:rPr>
              <w:t>dd</w:t>
            </w:r>
            <w:proofErr w:type="spellEnd"/>
            <w:r w:rsidRPr="00B12B93">
              <w:rPr>
                <w:sz w:val="20"/>
                <w:szCs w:val="20"/>
              </w:rPr>
              <w:t>/mm/</w:t>
            </w:r>
            <w:proofErr w:type="spellStart"/>
            <w:r w:rsidRPr="00B12B93">
              <w:rPr>
                <w:sz w:val="20"/>
                <w:szCs w:val="20"/>
              </w:rPr>
              <w:t>yy</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2</w:t>
            </w:r>
            <w:r w:rsidR="00B12B93" w:rsidRPr="00B12B93">
              <w:rPr>
                <w:sz w:val="20"/>
                <w:szCs w:val="20"/>
              </w:rPr>
              <w:t xml:space="preserve"> </w:t>
            </w:r>
            <w:r w:rsidRPr="00B12B93">
              <w:rPr>
                <w:sz w:val="20"/>
                <w:szCs w:val="20"/>
              </w:rPr>
              <w:t>Time</w:t>
            </w:r>
            <w:r w:rsidR="00B12B93" w:rsidRPr="00B12B93">
              <w:rPr>
                <w:sz w:val="20"/>
                <w:szCs w:val="20"/>
              </w:rPr>
              <w:t xml:space="preserve"> </w:t>
            </w:r>
            <w:r w:rsidRPr="00B12B93">
              <w:rPr>
                <w:sz w:val="20"/>
                <w:szCs w:val="20"/>
              </w:rPr>
              <w:t>(</w:t>
            </w:r>
            <w:proofErr w:type="spellStart"/>
            <w:r w:rsidRPr="00B12B93">
              <w:rPr>
                <w:sz w:val="20"/>
                <w:szCs w:val="20"/>
              </w:rPr>
              <w:t>hh:mm:ss</w:t>
            </w:r>
            <w:proofErr w:type="spellEnd"/>
            <w:r w:rsidRPr="00B12B93">
              <w:rPr>
                <w:sz w:val="20"/>
                <w:szCs w:val="20"/>
              </w:rPr>
              <w:t>)</w:t>
            </w:r>
          </w:p>
        </w:tc>
        <w:tc>
          <w:tcPr>
            <w:tcW w:w="1183" w:type="dxa"/>
            <w:shd w:val="clear" w:color="auto" w:fill="D9D9D9" w:themeFill="background1" w:themeFillShade="D9"/>
            <w:vAlign w:val="center"/>
          </w:tcPr>
          <w:p w:rsidR="00E619CE" w:rsidRPr="00B12B93" w:rsidRDefault="00E619CE" w:rsidP="004E3964">
            <w:pPr>
              <w:spacing w:before="240"/>
              <w:contextualSpacing/>
              <w:jc w:val="center"/>
              <w:rPr>
                <w:sz w:val="20"/>
                <w:szCs w:val="20"/>
              </w:rPr>
            </w:pPr>
            <w:r w:rsidRPr="00B12B93">
              <w:rPr>
                <w:sz w:val="20"/>
                <w:szCs w:val="20"/>
              </w:rPr>
              <w:t>Maximum POI At Receptor 2</w:t>
            </w:r>
            <w:r w:rsidR="00B12B93" w:rsidRPr="00B12B93">
              <w:rPr>
                <w:sz w:val="20"/>
                <w:szCs w:val="20"/>
              </w:rPr>
              <w:t xml:space="preserve"> </w:t>
            </w:r>
            <w:r w:rsidRPr="00B12B93">
              <w:rPr>
                <w:sz w:val="20"/>
                <w:szCs w:val="20"/>
              </w:rPr>
              <w:t>Concentration</w:t>
            </w:r>
            <w:r w:rsidR="00B12B93" w:rsidRPr="00B12B93">
              <w:rPr>
                <w:sz w:val="20"/>
                <w:szCs w:val="20"/>
              </w:rPr>
              <w:t xml:space="preserve"> </w:t>
            </w:r>
            <w:r w:rsidRPr="00B12B93">
              <w:rPr>
                <w:sz w:val="20"/>
                <w:szCs w:val="20"/>
              </w:rPr>
              <w:t>(µg/m</w:t>
            </w:r>
            <w:r w:rsidRPr="00B12B93">
              <w:rPr>
                <w:sz w:val="20"/>
                <w:szCs w:val="20"/>
                <w:vertAlign w:val="superscript"/>
              </w:rPr>
              <w:t>3</w:t>
            </w:r>
            <w:r w:rsidRPr="00B12B93">
              <w:rPr>
                <w:sz w:val="20"/>
                <w:szCs w:val="20"/>
              </w:rPr>
              <w:t>)</w:t>
            </w:r>
          </w:p>
        </w:tc>
      </w:tr>
      <w:tr w:rsidR="00E619CE" w:rsidTr="00063B13">
        <w:trPr>
          <w:trHeight w:val="579"/>
          <w:tblHeader/>
        </w:trPr>
        <w:tc>
          <w:tcPr>
            <w:tcW w:w="1182" w:type="dxa"/>
          </w:tcPr>
          <w:p w:rsidR="00E619CE" w:rsidRDefault="00E619CE" w:rsidP="00063B13">
            <w:r>
              <w:t>Source 1</w:t>
            </w:r>
          </w:p>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r>
      <w:tr w:rsidR="00E619CE" w:rsidTr="00063B13">
        <w:trPr>
          <w:trHeight w:val="566"/>
          <w:tblHeader/>
        </w:trPr>
        <w:tc>
          <w:tcPr>
            <w:tcW w:w="1182" w:type="dxa"/>
          </w:tcPr>
          <w:p w:rsidR="00E619CE" w:rsidRDefault="00E619CE" w:rsidP="00063B13">
            <w:r>
              <w:t>Source 2</w:t>
            </w:r>
          </w:p>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r>
      <w:tr w:rsidR="00E619CE" w:rsidTr="00063B13">
        <w:trPr>
          <w:trHeight w:val="579"/>
          <w:tblHeader/>
        </w:trPr>
        <w:tc>
          <w:tcPr>
            <w:tcW w:w="1182" w:type="dxa"/>
          </w:tcPr>
          <w:p w:rsidR="00E619CE" w:rsidRDefault="00E619CE" w:rsidP="00063B13">
            <w:r>
              <w:t>Source 3</w:t>
            </w:r>
          </w:p>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c>
          <w:tcPr>
            <w:tcW w:w="1183" w:type="dxa"/>
          </w:tcPr>
          <w:p w:rsidR="00E619CE" w:rsidRDefault="00E619CE" w:rsidP="00063B13"/>
        </w:tc>
      </w:tr>
    </w:tbl>
    <w:p w:rsidR="00E619CE" w:rsidRPr="00F70E28" w:rsidRDefault="00F70E28" w:rsidP="004E3964">
      <w:pPr>
        <w:spacing w:before="240" w:after="0"/>
        <w:rPr>
          <w:sz w:val="20"/>
          <w:szCs w:val="20"/>
        </w:rPr>
      </w:pPr>
      <w:r w:rsidRPr="00F70E28">
        <w:rPr>
          <w:sz w:val="20"/>
          <w:szCs w:val="20"/>
        </w:rPr>
        <w:t xml:space="preserve">Another useful table is one that shows the frequency of </w:t>
      </w:r>
      <w:proofErr w:type="spellStart"/>
      <w:r w:rsidRPr="00F70E28">
        <w:rPr>
          <w:sz w:val="20"/>
          <w:szCs w:val="20"/>
        </w:rPr>
        <w:t>exceedence</w:t>
      </w:r>
      <w:proofErr w:type="spellEnd"/>
      <w:r w:rsidRPr="00F70E28">
        <w:rPr>
          <w:sz w:val="20"/>
          <w:szCs w:val="20"/>
        </w:rPr>
        <w:t xml:space="preserve"> as well as the average concentration of the exceeded values or the range of the concentrations at that receptor point.  This table will be useful when explaining to members of the public and the public health staff.  For example, assume the standards for the contaminant is </w:t>
      </w:r>
      <w:proofErr w:type="gramStart"/>
      <w:r w:rsidRPr="00F70E28">
        <w:rPr>
          <w:sz w:val="20"/>
          <w:szCs w:val="20"/>
        </w:rPr>
        <w:t>100 µg/m</w:t>
      </w:r>
      <w:r w:rsidRPr="00F70E28">
        <w:rPr>
          <w:sz w:val="20"/>
          <w:szCs w:val="20"/>
          <w:vertAlign w:val="superscript"/>
        </w:rPr>
        <w:t>3</w:t>
      </w:r>
      <w:proofErr w:type="gramEnd"/>
      <w:r w:rsidRPr="00F70E28">
        <w:rPr>
          <w:sz w:val="20"/>
          <w:szCs w:val="20"/>
        </w:rPr>
        <w:t xml:space="preserve">.  If it is presented that the maximum concentration is </w:t>
      </w:r>
      <w:proofErr w:type="gramStart"/>
      <w:r w:rsidRPr="00F70E28">
        <w:rPr>
          <w:sz w:val="20"/>
          <w:szCs w:val="20"/>
        </w:rPr>
        <w:t>250 µg/m</w:t>
      </w:r>
      <w:r w:rsidRPr="00F70E28">
        <w:rPr>
          <w:sz w:val="20"/>
          <w:szCs w:val="20"/>
          <w:vertAlign w:val="superscript"/>
        </w:rPr>
        <w:t>3</w:t>
      </w:r>
      <w:proofErr w:type="gramEnd"/>
      <w:r w:rsidRPr="00F70E28">
        <w:rPr>
          <w:sz w:val="20"/>
          <w:szCs w:val="20"/>
        </w:rPr>
        <w:t xml:space="preserve"> and the standard is exceeded 50 times in a year, the perception is that 50 times a year the concentration will be 250 µg/m</w:t>
      </w:r>
      <w:r w:rsidRPr="00F70E28">
        <w:rPr>
          <w:sz w:val="20"/>
          <w:szCs w:val="20"/>
          <w:vertAlign w:val="superscript"/>
        </w:rPr>
        <w:t>3</w:t>
      </w:r>
      <w:r w:rsidRPr="00F70E28">
        <w:rPr>
          <w:sz w:val="20"/>
          <w:szCs w:val="20"/>
        </w:rPr>
        <w:t>.  Presenting the average value of all of the concentrations that exceed the criteria will put this in perspective.  Alternatively, the information could be presented as the median concentration or the range of concentrations.</w:t>
      </w:r>
      <w:r w:rsidR="00E619CE" w:rsidRPr="00F70E28">
        <w:rPr>
          <w:sz w:val="20"/>
          <w:szCs w:val="20"/>
        </w:rPr>
        <w:br w:type="page"/>
      </w:r>
    </w:p>
    <w:p w:rsidR="00E619CE" w:rsidRDefault="00F70E28" w:rsidP="009C4278">
      <w:pPr>
        <w:pStyle w:val="Heading2"/>
      </w:pPr>
      <w:r>
        <w:lastRenderedPageBreak/>
        <w:t>Table A</w:t>
      </w:r>
      <w:r w:rsidR="008357BE">
        <w:t>-</w:t>
      </w:r>
      <w:r>
        <w:t xml:space="preserve">2-3: </w:t>
      </w:r>
      <w:r w:rsidR="00E619CE" w:rsidRPr="003B5498">
        <w:t xml:space="preserve">Sample Table that Illustrates Frequency (%) of </w:t>
      </w:r>
      <w:proofErr w:type="spellStart"/>
      <w:r w:rsidR="00E619CE" w:rsidRPr="003B5498">
        <w:t>Exceedences</w:t>
      </w:r>
      <w:proofErr w:type="spellEnd"/>
      <w:r w:rsidR="00E619CE" w:rsidRPr="003B5498">
        <w:t xml:space="preserve"> and Average Concentration of </w:t>
      </w:r>
      <w:proofErr w:type="spellStart"/>
      <w:r w:rsidR="00E619CE" w:rsidRPr="003B5498">
        <w:t>Exceedences</w:t>
      </w:r>
      <w:proofErr w:type="spellEnd"/>
      <w:r w:rsidR="00E619CE" w:rsidRPr="003B5498">
        <w:t xml:space="preserve"> of Contaminant “X”</w:t>
      </w:r>
    </w:p>
    <w:p w:rsidR="00E619CE" w:rsidRPr="003B5498" w:rsidRDefault="00E619CE" w:rsidP="004E3964">
      <w:pPr>
        <w:pStyle w:val="Heading3"/>
      </w:pPr>
      <w:r w:rsidRPr="003B5498">
        <w:t xml:space="preserve">Contaminant: </w:t>
      </w:r>
    </w:p>
    <w:tbl>
      <w:tblPr>
        <w:tblStyle w:val="TableGrid"/>
        <w:tblW w:w="5000" w:type="pct"/>
        <w:tblCellMar>
          <w:left w:w="115" w:type="dxa"/>
          <w:bottom w:w="144" w:type="dxa"/>
          <w:right w:w="115" w:type="dxa"/>
        </w:tblCellMar>
        <w:tblLook w:val="04A0" w:firstRow="1" w:lastRow="0" w:firstColumn="1" w:lastColumn="0" w:noHBand="0" w:noVBand="1"/>
        <w:tblDescription w:val="This table illustrates frequency (%) of exceedences and average concentration of exceedences for a specified Contaminant "/>
      </w:tblPr>
      <w:tblGrid>
        <w:gridCol w:w="3297"/>
        <w:gridCol w:w="3297"/>
        <w:gridCol w:w="3298"/>
        <w:gridCol w:w="3298"/>
      </w:tblGrid>
      <w:tr w:rsidR="00E619CE" w:rsidTr="004E3964">
        <w:trPr>
          <w:tblHeader/>
        </w:trPr>
        <w:tc>
          <w:tcPr>
            <w:tcW w:w="1250" w:type="pct"/>
            <w:shd w:val="clear" w:color="auto" w:fill="D9D9D9" w:themeFill="background1" w:themeFillShade="D9"/>
            <w:vAlign w:val="center"/>
          </w:tcPr>
          <w:p w:rsidR="00E619CE" w:rsidRDefault="00E619CE" w:rsidP="004E3964">
            <w:pPr>
              <w:spacing w:before="240"/>
              <w:contextualSpacing/>
              <w:jc w:val="center"/>
            </w:pPr>
            <w:r>
              <w:t>All Sources</w:t>
            </w:r>
          </w:p>
        </w:tc>
        <w:tc>
          <w:tcPr>
            <w:tcW w:w="1250" w:type="pct"/>
            <w:shd w:val="clear" w:color="auto" w:fill="D9D9D9" w:themeFill="background1" w:themeFillShade="D9"/>
            <w:vAlign w:val="center"/>
          </w:tcPr>
          <w:p w:rsidR="00E619CE" w:rsidRDefault="00E619CE" w:rsidP="004E3964">
            <w:pPr>
              <w:spacing w:before="240"/>
              <w:contextualSpacing/>
              <w:jc w:val="center"/>
            </w:pPr>
            <w:r w:rsidRPr="003B5498">
              <w:t>Maximum POI Receptor</w:t>
            </w:r>
          </w:p>
        </w:tc>
        <w:tc>
          <w:tcPr>
            <w:tcW w:w="1250" w:type="pct"/>
            <w:shd w:val="clear" w:color="auto" w:fill="D9D9D9" w:themeFill="background1" w:themeFillShade="D9"/>
            <w:vAlign w:val="center"/>
          </w:tcPr>
          <w:p w:rsidR="00E619CE" w:rsidRDefault="00E619CE" w:rsidP="004E3964">
            <w:pPr>
              <w:spacing w:before="240"/>
              <w:contextualSpacing/>
              <w:jc w:val="center"/>
            </w:pPr>
            <w:r>
              <w:t>Receptor 1</w:t>
            </w:r>
          </w:p>
        </w:tc>
        <w:tc>
          <w:tcPr>
            <w:tcW w:w="1250" w:type="pct"/>
            <w:shd w:val="clear" w:color="auto" w:fill="D9D9D9" w:themeFill="background1" w:themeFillShade="D9"/>
            <w:vAlign w:val="center"/>
          </w:tcPr>
          <w:p w:rsidR="00E619CE" w:rsidRDefault="00E619CE" w:rsidP="004E3964">
            <w:pPr>
              <w:spacing w:before="240"/>
              <w:contextualSpacing/>
              <w:jc w:val="center"/>
            </w:pPr>
            <w:r>
              <w:t>Receptor 2</w:t>
            </w:r>
          </w:p>
        </w:tc>
      </w:tr>
      <w:tr w:rsidR="00E619CE" w:rsidTr="009C4278">
        <w:trPr>
          <w:tblHeader/>
        </w:trPr>
        <w:tc>
          <w:tcPr>
            <w:tcW w:w="1250" w:type="pct"/>
          </w:tcPr>
          <w:p w:rsidR="00E619CE" w:rsidRDefault="00E619CE" w:rsidP="00BD7808">
            <w:pPr>
              <w:spacing w:before="240"/>
              <w:contextualSpacing/>
            </w:pPr>
            <w:proofErr w:type="spellStart"/>
            <w:r w:rsidRPr="00F363E8">
              <w:rPr>
                <w:vertAlign w:val="superscript"/>
              </w:rPr>
              <w:t>i</w:t>
            </w:r>
            <w:r>
              <w:t>Frequency</w:t>
            </w:r>
            <w:proofErr w:type="spellEnd"/>
            <w:r>
              <w:t xml:space="preserve"> above Standard (% of time </w:t>
            </w:r>
            <w:proofErr w:type="spellStart"/>
            <w:r>
              <w:t>exceedence</w:t>
            </w:r>
            <w:proofErr w:type="spellEnd"/>
            <w:r>
              <w:t xml:space="preserve"> occurs at receptor)</w:t>
            </w:r>
          </w:p>
        </w:tc>
        <w:tc>
          <w:tcPr>
            <w:tcW w:w="1250" w:type="pct"/>
          </w:tcPr>
          <w:p w:rsidR="00E619CE" w:rsidRDefault="00E619CE" w:rsidP="00BD7808">
            <w:pPr>
              <w:spacing w:before="240"/>
              <w:contextualSpacing/>
            </w:pPr>
          </w:p>
        </w:tc>
        <w:tc>
          <w:tcPr>
            <w:tcW w:w="1250" w:type="pct"/>
          </w:tcPr>
          <w:p w:rsidR="00E619CE" w:rsidRDefault="00E619CE" w:rsidP="00BD7808">
            <w:pPr>
              <w:spacing w:before="240"/>
              <w:contextualSpacing/>
            </w:pPr>
          </w:p>
        </w:tc>
        <w:tc>
          <w:tcPr>
            <w:tcW w:w="1250" w:type="pct"/>
          </w:tcPr>
          <w:p w:rsidR="00E619CE" w:rsidRDefault="00E619CE" w:rsidP="00BD7808">
            <w:pPr>
              <w:spacing w:before="240"/>
              <w:contextualSpacing/>
            </w:pPr>
          </w:p>
        </w:tc>
      </w:tr>
      <w:tr w:rsidR="00E619CE" w:rsidTr="009C4278">
        <w:trPr>
          <w:tblHeader/>
        </w:trPr>
        <w:tc>
          <w:tcPr>
            <w:tcW w:w="1250" w:type="pct"/>
          </w:tcPr>
          <w:p w:rsidR="00E619CE" w:rsidRDefault="00E619CE" w:rsidP="00063B13">
            <w:r>
              <w:t>Average Concentration above Standard (µg/m</w:t>
            </w:r>
            <w:r w:rsidRPr="00F363E8">
              <w:rPr>
                <w:vertAlign w:val="superscript"/>
              </w:rPr>
              <w:t>3</w:t>
            </w:r>
            <w:r>
              <w:t>)</w:t>
            </w:r>
          </w:p>
        </w:tc>
        <w:tc>
          <w:tcPr>
            <w:tcW w:w="1250" w:type="pct"/>
          </w:tcPr>
          <w:p w:rsidR="00E619CE" w:rsidRDefault="00E619CE" w:rsidP="00063B13"/>
        </w:tc>
        <w:tc>
          <w:tcPr>
            <w:tcW w:w="1250" w:type="pct"/>
          </w:tcPr>
          <w:p w:rsidR="00E619CE" w:rsidRDefault="00E619CE" w:rsidP="00063B13"/>
        </w:tc>
        <w:tc>
          <w:tcPr>
            <w:tcW w:w="1250" w:type="pct"/>
          </w:tcPr>
          <w:p w:rsidR="00E619CE" w:rsidRDefault="00E619CE" w:rsidP="00063B13"/>
        </w:tc>
      </w:tr>
      <w:tr w:rsidR="00E619CE" w:rsidTr="009C4278">
        <w:trPr>
          <w:tblHeader/>
        </w:trPr>
        <w:tc>
          <w:tcPr>
            <w:tcW w:w="1250" w:type="pct"/>
          </w:tcPr>
          <w:p w:rsidR="00E619CE" w:rsidRDefault="00E619CE" w:rsidP="00063B13">
            <w:r>
              <w:t>Median or Range of Concentrations above the Standard  (µg/m</w:t>
            </w:r>
            <w:r w:rsidRPr="00F363E8">
              <w:rPr>
                <w:vertAlign w:val="superscript"/>
              </w:rPr>
              <w:t>3</w:t>
            </w:r>
            <w:r>
              <w:t>)</w:t>
            </w:r>
          </w:p>
        </w:tc>
        <w:tc>
          <w:tcPr>
            <w:tcW w:w="1250" w:type="pct"/>
          </w:tcPr>
          <w:p w:rsidR="00E619CE" w:rsidRDefault="00E619CE" w:rsidP="00063B13"/>
        </w:tc>
        <w:tc>
          <w:tcPr>
            <w:tcW w:w="1250" w:type="pct"/>
          </w:tcPr>
          <w:p w:rsidR="00E619CE" w:rsidRDefault="00E619CE" w:rsidP="00063B13"/>
        </w:tc>
        <w:tc>
          <w:tcPr>
            <w:tcW w:w="1250" w:type="pct"/>
          </w:tcPr>
          <w:p w:rsidR="00E619CE" w:rsidRDefault="00E619CE" w:rsidP="00063B13"/>
        </w:tc>
      </w:tr>
    </w:tbl>
    <w:p w:rsidR="00E619CE" w:rsidRDefault="00E619CE" w:rsidP="009C4278">
      <w:pPr>
        <w:spacing w:before="240"/>
      </w:pPr>
      <w:r w:rsidRPr="00C03141">
        <w:t xml:space="preserve">Note i: </w:t>
      </w:r>
      <w:r>
        <w:t xml:space="preserve"> </w:t>
      </w:r>
      <w:r w:rsidRPr="00C03141">
        <w:t xml:space="preserve">The frequency presented should be the highest frequency at any receptor point on the receptor property.  </w:t>
      </w:r>
      <w:r w:rsidRPr="00C93453">
        <w:t>Alternative</w:t>
      </w:r>
      <w:r w:rsidRPr="00C03141">
        <w:t xml:space="preserve">ly, the </w:t>
      </w:r>
      <w:r>
        <w:t>ministry</w:t>
      </w:r>
      <w:r w:rsidRPr="00C03141">
        <w:t xml:space="preserve"> may consider the highest frequency of the receptor point that is most likely to occur at the human receptors on the property.  Pre-discussion with the </w:t>
      </w:r>
      <w:r>
        <w:t>ministry</w:t>
      </w:r>
      <w:r w:rsidRPr="00C03141">
        <w:t xml:space="preserve"> may be required.</w:t>
      </w:r>
    </w:p>
    <w:sectPr w:rsidR="00E619CE" w:rsidSect="009C4278">
      <w:headerReference w:type="default" r:id="rId8"/>
      <w:footerReference w:type="default" r:id="rId9"/>
      <w:pgSz w:w="15840" w:h="12240" w:orient="landscape"/>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38" w:rsidRDefault="00BD4B38" w:rsidP="00F72078">
      <w:pPr>
        <w:spacing w:after="0" w:line="240" w:lineRule="auto"/>
      </w:pPr>
      <w:r>
        <w:separator/>
      </w:r>
    </w:p>
  </w:endnote>
  <w:endnote w:type="continuationSeparator" w:id="0">
    <w:p w:rsidR="00BD4B38" w:rsidRDefault="00BD4B3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6308"/>
      <w:docPartObj>
        <w:docPartGallery w:val="Page Numbers (Bottom of Page)"/>
        <w:docPartUnique/>
      </w:docPartObj>
    </w:sdtPr>
    <w:sdtEndPr>
      <w:rPr>
        <w:noProof/>
      </w:rPr>
    </w:sdtEndPr>
    <w:sdtContent>
      <w:p w:rsidR="00E02BC3" w:rsidRDefault="00E02BC3">
        <w:pPr>
          <w:pStyle w:val="Footer"/>
          <w:jc w:val="right"/>
        </w:pPr>
        <w:r>
          <w:fldChar w:fldCharType="begin"/>
        </w:r>
        <w:r>
          <w:instrText xml:space="preserve"> PAGE   \* MERGEFORMAT </w:instrText>
        </w:r>
        <w:r>
          <w:fldChar w:fldCharType="separate"/>
        </w:r>
        <w:r w:rsidR="000C27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38" w:rsidRDefault="00BD4B38" w:rsidP="00F72078">
      <w:pPr>
        <w:spacing w:after="0" w:line="240" w:lineRule="auto"/>
      </w:pPr>
      <w:r>
        <w:separator/>
      </w:r>
    </w:p>
  </w:footnote>
  <w:footnote w:type="continuationSeparator" w:id="0">
    <w:p w:rsidR="00BD4B38" w:rsidRDefault="00BD4B38"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78" w:rsidRPr="009C4278" w:rsidRDefault="009C4278" w:rsidP="009C4278">
    <w:pPr>
      <w:pStyle w:val="Header"/>
      <w:rPr>
        <w:sz w:val="22"/>
      </w:rPr>
    </w:pPr>
    <w:r w:rsidRPr="009C4278">
      <w:rPr>
        <w:sz w:val="22"/>
      </w:rPr>
      <w:t xml:space="preserve">Guide to Requesting a Site-Specific Standard </w:t>
    </w:r>
  </w:p>
  <w:p w:rsidR="009C4278" w:rsidRPr="009C4278" w:rsidRDefault="009C4278" w:rsidP="009C4278">
    <w:pPr>
      <w:pStyle w:val="Header"/>
      <w:rPr>
        <w:sz w:val="22"/>
      </w:rPr>
    </w:pPr>
    <w:r w:rsidRPr="009C4278">
      <w:rPr>
        <w:sz w:val="22"/>
      </w:rPr>
      <w:t>Ministry of Environment and Climate Change</w:t>
    </w:r>
  </w:p>
  <w:p w:rsidR="009C4278" w:rsidRPr="009C4278" w:rsidRDefault="000C276F" w:rsidP="009C4278">
    <w:pPr>
      <w:pStyle w:val="Header"/>
      <w:rPr>
        <w:sz w:val="22"/>
      </w:rPr>
    </w:pPr>
    <w:hyperlink r:id="rId1" w:history="1">
      <w:proofErr w:type="gramStart"/>
      <w:r w:rsidR="009C4278" w:rsidRPr="009C4278">
        <w:rPr>
          <w:rStyle w:val="Hyperlink"/>
          <w:sz w:val="22"/>
        </w:rPr>
        <w:t>ontario.ca/environment</w:t>
      </w:r>
      <w:proofErr w:type="gramEnd"/>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6D"/>
    <w:rsid w:val="000A0119"/>
    <w:rsid w:val="000C276F"/>
    <w:rsid w:val="0010726D"/>
    <w:rsid w:val="001C37B4"/>
    <w:rsid w:val="001F129E"/>
    <w:rsid w:val="00225BE4"/>
    <w:rsid w:val="002D324D"/>
    <w:rsid w:val="002E6FF6"/>
    <w:rsid w:val="00300629"/>
    <w:rsid w:val="00317F1F"/>
    <w:rsid w:val="0036413B"/>
    <w:rsid w:val="003B13E6"/>
    <w:rsid w:val="00404C1A"/>
    <w:rsid w:val="00475A9E"/>
    <w:rsid w:val="00487378"/>
    <w:rsid w:val="004A2238"/>
    <w:rsid w:val="004A392D"/>
    <w:rsid w:val="004B347D"/>
    <w:rsid w:val="004B69F7"/>
    <w:rsid w:val="004E3964"/>
    <w:rsid w:val="004F1B03"/>
    <w:rsid w:val="004F20C3"/>
    <w:rsid w:val="0057735C"/>
    <w:rsid w:val="00624B02"/>
    <w:rsid w:val="00695E04"/>
    <w:rsid w:val="006C7751"/>
    <w:rsid w:val="006D72AA"/>
    <w:rsid w:val="00767151"/>
    <w:rsid w:val="007707B1"/>
    <w:rsid w:val="00794C32"/>
    <w:rsid w:val="007D6DDD"/>
    <w:rsid w:val="008357BE"/>
    <w:rsid w:val="008730CF"/>
    <w:rsid w:val="009B1D63"/>
    <w:rsid w:val="009B65DE"/>
    <w:rsid w:val="009C4278"/>
    <w:rsid w:val="009F7435"/>
    <w:rsid w:val="00A4736E"/>
    <w:rsid w:val="00A62894"/>
    <w:rsid w:val="00A963FC"/>
    <w:rsid w:val="00AD71CE"/>
    <w:rsid w:val="00B12B93"/>
    <w:rsid w:val="00B35E19"/>
    <w:rsid w:val="00B770D9"/>
    <w:rsid w:val="00B93223"/>
    <w:rsid w:val="00BB456B"/>
    <w:rsid w:val="00BD4B38"/>
    <w:rsid w:val="00BD7808"/>
    <w:rsid w:val="00C029AC"/>
    <w:rsid w:val="00C442F5"/>
    <w:rsid w:val="00C93AB7"/>
    <w:rsid w:val="00CC034D"/>
    <w:rsid w:val="00D83F89"/>
    <w:rsid w:val="00DC2407"/>
    <w:rsid w:val="00E02BC3"/>
    <w:rsid w:val="00E507F9"/>
    <w:rsid w:val="00E619CE"/>
    <w:rsid w:val="00E971E8"/>
    <w:rsid w:val="00F17B57"/>
    <w:rsid w:val="00F4355A"/>
    <w:rsid w:val="00F61F85"/>
    <w:rsid w:val="00F70E28"/>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726D"/>
    <w:rPr>
      <w:sz w:val="24"/>
    </w:rPr>
  </w:style>
  <w:style w:type="paragraph" w:styleId="Heading1">
    <w:name w:val="heading 1"/>
    <w:basedOn w:val="Normal"/>
    <w:next w:val="Normal"/>
    <w:link w:val="Heading1Char"/>
    <w:uiPriority w:val="9"/>
    <w:qFormat/>
    <w:rsid w:val="009C4278"/>
    <w:pPr>
      <w:spacing w:before="24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730CF"/>
    <w:pPr>
      <w:spacing w:before="48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278"/>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730C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10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19CE"/>
    <w:pPr>
      <w:spacing w:before="120" w:after="240" w:line="240" w:lineRule="auto"/>
      <w:outlineLvl w:val="1"/>
    </w:pPr>
    <w:rPr>
      <w:rFonts w:ascii="Arial" w:eastAsia="Times New Roman" w:hAnsi="Arial" w:cs="Times New Roman"/>
      <w:szCs w:val="24"/>
    </w:rPr>
  </w:style>
  <w:style w:type="character" w:customStyle="1" w:styleId="BodyTextChar">
    <w:name w:val="Body Text Char"/>
    <w:basedOn w:val="DefaultParagraphFont"/>
    <w:link w:val="BodyText"/>
    <w:rsid w:val="00E619CE"/>
    <w:rPr>
      <w:rFonts w:ascii="Arial" w:eastAsia="Times New Roman" w:hAnsi="Arial" w:cs="Times New Roman"/>
      <w:sz w:val="24"/>
      <w:szCs w:val="24"/>
    </w:rPr>
  </w:style>
  <w:style w:type="character" w:styleId="Hyperlink">
    <w:name w:val="Hyperlink"/>
    <w:basedOn w:val="DefaultParagraphFont"/>
    <w:uiPriority w:val="99"/>
    <w:unhideWhenUsed/>
    <w:rsid w:val="009C427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726D"/>
    <w:rPr>
      <w:sz w:val="24"/>
    </w:rPr>
  </w:style>
  <w:style w:type="paragraph" w:styleId="Heading1">
    <w:name w:val="heading 1"/>
    <w:basedOn w:val="Normal"/>
    <w:next w:val="Normal"/>
    <w:link w:val="Heading1Char"/>
    <w:uiPriority w:val="9"/>
    <w:qFormat/>
    <w:rsid w:val="009C4278"/>
    <w:pPr>
      <w:spacing w:before="24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730CF"/>
    <w:pPr>
      <w:spacing w:before="48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278"/>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730C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10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19CE"/>
    <w:pPr>
      <w:spacing w:before="120" w:after="240" w:line="240" w:lineRule="auto"/>
      <w:outlineLvl w:val="1"/>
    </w:pPr>
    <w:rPr>
      <w:rFonts w:ascii="Arial" w:eastAsia="Times New Roman" w:hAnsi="Arial" w:cs="Times New Roman"/>
      <w:szCs w:val="24"/>
    </w:rPr>
  </w:style>
  <w:style w:type="character" w:customStyle="1" w:styleId="BodyTextChar">
    <w:name w:val="Body Text Char"/>
    <w:basedOn w:val="DefaultParagraphFont"/>
    <w:link w:val="BodyText"/>
    <w:rsid w:val="00E619CE"/>
    <w:rPr>
      <w:rFonts w:ascii="Arial" w:eastAsia="Times New Roman" w:hAnsi="Arial" w:cs="Times New Roman"/>
      <w:sz w:val="24"/>
      <w:szCs w:val="24"/>
    </w:rPr>
  </w:style>
  <w:style w:type="character" w:styleId="Hyperlink">
    <w:name w:val="Hyperlink"/>
    <w:basedOn w:val="DefaultParagraphFont"/>
    <w:uiPriority w:val="99"/>
    <w:unhideWhenUsed/>
    <w:rsid w:val="009C427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a/environme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A455-8E2C-4E97-B4D1-FE06C92E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Guide to Requesting a Site-Specific Standard Templates</vt:lpstr>
    </vt:vector>
  </TitlesOfParts>
  <Company>MGS</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Technology Benchmarking Reports </dc:title>
  <dc:subject>Guide to Requesting a Site-Specific Standard Templates</dc:subject>
  <dc:creator>Ministry of Environment and Climate Change</dc:creator>
  <cp:lastModifiedBy>Leenamkwong, Nadine (MOECC)</cp:lastModifiedBy>
  <cp:revision>4</cp:revision>
  <dcterms:created xsi:type="dcterms:W3CDTF">2016-06-30T13:52:00Z</dcterms:created>
  <dcterms:modified xsi:type="dcterms:W3CDTF">2016-06-30T14:10:00Z</dcterms:modified>
</cp:coreProperties>
</file>