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6429"/>
        <w:gridCol w:w="4230"/>
      </w:tblGrid>
      <w:tr w:rsidR="005C299F" w:rsidRPr="00BC79C9" w:rsidTr="00867EBB">
        <w:trPr>
          <w:tblHeader/>
        </w:trPr>
        <w:tc>
          <w:tcPr>
            <w:tcW w:w="2409" w:type="dxa"/>
            <w:shd w:val="clear" w:color="auto" w:fill="E0E0E0"/>
          </w:tcPr>
          <w:p w:rsidR="005C299F" w:rsidRPr="00BC79C9" w:rsidRDefault="005C299F">
            <w:pPr>
              <w:pStyle w:val="TableHeading"/>
            </w:pPr>
            <w:bookmarkStart w:id="0" w:name="OLE_LINK5"/>
            <w:r w:rsidRPr="00BC79C9">
              <w:t>Nom du champ</w:t>
            </w:r>
          </w:p>
        </w:tc>
        <w:tc>
          <w:tcPr>
            <w:tcW w:w="6429" w:type="dxa"/>
            <w:shd w:val="clear" w:color="auto" w:fill="E0E0E0"/>
          </w:tcPr>
          <w:p w:rsidR="005C299F" w:rsidRPr="00BC79C9" w:rsidRDefault="005C299F">
            <w:pPr>
              <w:pStyle w:val="TableHeading"/>
            </w:pPr>
            <w:r w:rsidRPr="00BC79C9">
              <w:t>Description</w:t>
            </w:r>
          </w:p>
        </w:tc>
        <w:tc>
          <w:tcPr>
            <w:tcW w:w="4230" w:type="dxa"/>
            <w:shd w:val="clear" w:color="auto" w:fill="E0E0E0"/>
          </w:tcPr>
          <w:p w:rsidR="005C299F" w:rsidRPr="00BC79C9" w:rsidRDefault="00F04D38">
            <w:pPr>
              <w:pStyle w:val="TableHeading"/>
            </w:pPr>
            <w:r w:rsidRPr="00BC79C9">
              <w:t>Valeurs</w:t>
            </w:r>
          </w:p>
        </w:tc>
      </w:tr>
      <w:tr w:rsidR="005C299F" w:rsidRPr="00BC79C9" w:rsidTr="00867EBB">
        <w:trPr>
          <w:trHeight w:val="305"/>
        </w:trPr>
        <w:tc>
          <w:tcPr>
            <w:tcW w:w="2409" w:type="dxa"/>
            <w:vAlign w:val="center"/>
          </w:tcPr>
          <w:p w:rsidR="005C299F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FID</w:t>
            </w:r>
          </w:p>
        </w:tc>
        <w:tc>
          <w:tcPr>
            <w:tcW w:w="6429" w:type="dxa"/>
            <w:vAlign w:val="center"/>
          </w:tcPr>
          <w:p w:rsidR="005C299F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Nombres entiers uniques séquentiels générés automatiquement.</w:t>
            </w:r>
          </w:p>
        </w:tc>
        <w:tc>
          <w:tcPr>
            <w:tcW w:w="4230" w:type="dxa"/>
            <w:vAlign w:val="center"/>
          </w:tcPr>
          <w:p w:rsidR="005C299F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Identifiant de l'objet</w:t>
            </w:r>
          </w:p>
        </w:tc>
      </w:tr>
      <w:tr w:rsidR="005C299F" w:rsidRPr="00BC79C9" w:rsidTr="00867EBB">
        <w:trPr>
          <w:trHeight w:val="305"/>
        </w:trPr>
        <w:tc>
          <w:tcPr>
            <w:tcW w:w="2409" w:type="dxa"/>
            <w:vAlign w:val="center"/>
          </w:tcPr>
          <w:p w:rsidR="005C299F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Shape</w:t>
            </w:r>
          </w:p>
        </w:tc>
        <w:tc>
          <w:tcPr>
            <w:tcW w:w="6429" w:type="dxa"/>
            <w:vAlign w:val="center"/>
          </w:tcPr>
          <w:p w:rsidR="005C299F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 xml:space="preserve">Géométrie de la composante (point, </w:t>
            </w:r>
            <w:proofErr w:type="spellStart"/>
            <w:r w:rsidRPr="00BC79C9">
              <w:rPr>
                <w:sz w:val="20"/>
              </w:rPr>
              <w:t>polyligne</w:t>
            </w:r>
            <w:proofErr w:type="spellEnd"/>
            <w:r w:rsidRPr="00BC79C9">
              <w:rPr>
                <w:sz w:val="20"/>
              </w:rPr>
              <w:t>, polygone)</w:t>
            </w:r>
          </w:p>
        </w:tc>
        <w:tc>
          <w:tcPr>
            <w:tcW w:w="4230" w:type="dxa"/>
            <w:vAlign w:val="center"/>
          </w:tcPr>
          <w:p w:rsidR="005C299F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Géométrie</w:t>
            </w:r>
          </w:p>
        </w:tc>
      </w:tr>
      <w:bookmarkEnd w:id="0"/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MTOCODE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98250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Nombre unique attribué afin d'identifier un type de composante. Sert à sélectionner l</w:t>
            </w:r>
            <w:bookmarkStart w:id="1" w:name="_GoBack"/>
            <w:bookmarkEnd w:id="1"/>
            <w:r w:rsidRPr="00BC79C9">
              <w:rPr>
                <w:sz w:val="20"/>
              </w:rPr>
              <w:t xml:space="preserve">a </w:t>
            </w:r>
            <w:proofErr w:type="spellStart"/>
            <w:r w:rsidRPr="00BC79C9">
              <w:rPr>
                <w:sz w:val="20"/>
              </w:rPr>
              <w:t>symbologie</w:t>
            </w:r>
            <w:proofErr w:type="spellEnd"/>
            <w:r w:rsidRPr="00BC79C9">
              <w:rPr>
                <w:sz w:val="20"/>
              </w:rPr>
              <w:t>.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Double</w:t>
            </w:r>
          </w:p>
          <w:p w:rsidR="001B274C" w:rsidRPr="00BC79C9" w:rsidRDefault="001B274C" w:rsidP="001B274C">
            <w:pPr>
              <w:rPr>
                <w:rFonts w:cs="Arial"/>
                <w:szCs w:val="20"/>
              </w:rPr>
            </w:pPr>
            <w:r w:rsidRPr="00BC79C9">
              <w:t>134 = échangeur complet sur une route principale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t>135 = échangeur partiel sur une route principale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SOURCE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98250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Source de renseignements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SRC_DAT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98250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Actualité des renseignements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Date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ENT_DAT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98250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 xml:space="preserve">Date de la mise à jour 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Date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UPDATE_BY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98250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Personne qui a effectué la mise à jour (initiales)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COMMENTS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98250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Renseignements supplémentaires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bookmarkStart w:id="2" w:name="_Hlk300313729"/>
            <w:r w:rsidRPr="00BC79C9">
              <w:rPr>
                <w:sz w:val="20"/>
              </w:rPr>
              <w:t>ORM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« Oui » indique que la composante apparaît sur le champ principal nord ou sud de la carte routière officielle de l'Ontario.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o = oui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 = non</w:t>
            </w:r>
          </w:p>
        </w:tc>
      </w:tr>
      <w:bookmarkEnd w:id="2"/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INSET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« Oui » indique que la composante apparaît dans un agrandissement de la carte routière officielle de l'Ontario.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o = oui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 = non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MAP</w:t>
            </w:r>
          </w:p>
        </w:tc>
        <w:tc>
          <w:tcPr>
            <w:tcW w:w="6429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 xml:space="preserve">« n » ou « s » indique que la composante apparaît sur le champ principal nord </w:t>
            </w:r>
            <w:r w:rsidRPr="00BC79C9">
              <w:rPr>
                <w:b/>
                <w:u w:val="single"/>
              </w:rPr>
              <w:t>ou</w:t>
            </w:r>
            <w:r w:rsidRPr="00BC79C9">
              <w:t xml:space="preserve"> sud de la carte routière officielle de l'Ontario, ou dans un agrandissement du Nord ou du Sud de l'Ontario.</w:t>
            </w:r>
          </w:p>
          <w:p w:rsidR="004B6028" w:rsidRPr="00BC79C9" w:rsidRDefault="004B6028" w:rsidP="0007216E">
            <w:pPr>
              <w:rPr>
                <w:rFonts w:cs="Arial"/>
                <w:szCs w:val="20"/>
              </w:rPr>
            </w:pPr>
            <w:r w:rsidRPr="00BC79C9">
              <w:t xml:space="preserve">« ns » indique que la composante apparaît sur les champs nord </w:t>
            </w:r>
            <w:r w:rsidRPr="00BC79C9">
              <w:rPr>
                <w:b/>
                <w:u w:val="single"/>
              </w:rPr>
              <w:t>et</w:t>
            </w:r>
            <w:r w:rsidRPr="00BC79C9">
              <w:t xml:space="preserve"> sud de la carte routière officielle de l'Ontario, ou dans un agrandissement du Nord ou du Sud de l'Ontario.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 = nord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s = sud</w:t>
            </w:r>
          </w:p>
          <w:p w:rsidR="001B274C" w:rsidRPr="00BC79C9" w:rsidRDefault="001B274C" w:rsidP="001B274C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ns = nord/sud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lastRenderedPageBreak/>
              <w:t>LIN_REF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rPr>
                <w:rFonts w:cs="Arial"/>
                <w:szCs w:val="20"/>
              </w:rPr>
            </w:pPr>
            <w:r w:rsidRPr="00BC79C9">
              <w:t>Point de référence du SRLR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Nombre entier long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MEASURE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Distance à partir du commencement de la route Dérivé du SRLR et OFFSET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Double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RD_NAME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Numéro ou nom de la route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LOCATION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Description de l'emplacement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HIGHWAY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Numéro ou nom abrégé de la route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JURIS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Qui est responsable de l'échangeur?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Texte</w:t>
            </w:r>
          </w:p>
          <w:p w:rsidR="001B274C" w:rsidRPr="00BC79C9" w:rsidRDefault="001B274C" w:rsidP="001B274C">
            <w:pPr>
              <w:rPr>
                <w:rFonts w:cs="Arial"/>
                <w:szCs w:val="20"/>
              </w:rPr>
            </w:pPr>
            <w:r w:rsidRPr="00BC79C9">
              <w:t>Palier inférieur, provincial, Québec, palier unique, route à péage, palier supérieur, É.-U.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INTERCHANG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Type d'échangeur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Texte</w:t>
            </w:r>
          </w:p>
          <w:p w:rsidR="001B274C" w:rsidRPr="00BC79C9" w:rsidRDefault="001B274C" w:rsidP="004B6028">
            <w:pPr>
              <w:rPr>
                <w:rFonts w:cs="Arial"/>
                <w:szCs w:val="20"/>
              </w:rPr>
            </w:pPr>
            <w:r w:rsidRPr="00BC79C9">
              <w:t>134 = échangeur complet sur une route principale</w:t>
            </w:r>
          </w:p>
          <w:p w:rsidR="001B274C" w:rsidRPr="00BC79C9" w:rsidRDefault="001B274C" w:rsidP="004B6028">
            <w:pPr>
              <w:rPr>
                <w:rFonts w:cs="Arial"/>
                <w:szCs w:val="20"/>
              </w:rPr>
            </w:pPr>
            <w:r w:rsidRPr="00BC79C9">
              <w:t>135 = échangeur partiel sur une route principale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EXIT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Numéro de sortie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Texte</w:t>
            </w:r>
          </w:p>
        </w:tc>
      </w:tr>
      <w:tr w:rsidR="004B6028" w:rsidRPr="00BC79C9" w:rsidTr="00867EBB">
        <w:trPr>
          <w:trHeight w:val="305"/>
        </w:trPr>
        <w:tc>
          <w:tcPr>
            <w:tcW w:w="2409" w:type="dxa"/>
            <w:vAlign w:val="center"/>
          </w:tcPr>
          <w:p w:rsidR="004B6028" w:rsidRPr="00BC79C9" w:rsidRDefault="004B6028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CROSS</w:t>
            </w:r>
          </w:p>
        </w:tc>
        <w:tc>
          <w:tcPr>
            <w:tcW w:w="6429" w:type="dxa"/>
            <w:vAlign w:val="center"/>
          </w:tcPr>
          <w:p w:rsidR="004B6028" w:rsidRPr="00BC79C9" w:rsidRDefault="001B274C" w:rsidP="004B6028">
            <w:pPr>
              <w:pStyle w:val="TableText"/>
              <w:rPr>
                <w:sz w:val="20"/>
              </w:rPr>
            </w:pPr>
            <w:r w:rsidRPr="00BC79C9">
              <w:rPr>
                <w:sz w:val="20"/>
              </w:rPr>
              <w:t>Rue transversale</w:t>
            </w:r>
          </w:p>
        </w:tc>
        <w:tc>
          <w:tcPr>
            <w:tcW w:w="4230" w:type="dxa"/>
            <w:vAlign w:val="center"/>
          </w:tcPr>
          <w:p w:rsidR="004B6028" w:rsidRPr="00BC79C9" w:rsidRDefault="004B6028" w:rsidP="004B6028">
            <w:pPr>
              <w:rPr>
                <w:rFonts w:cs="Arial"/>
                <w:szCs w:val="20"/>
              </w:rPr>
            </w:pPr>
            <w:r w:rsidRPr="00BC79C9">
              <w:t>Texte</w:t>
            </w:r>
          </w:p>
        </w:tc>
      </w:tr>
    </w:tbl>
    <w:p w:rsidR="0036499E" w:rsidRDefault="0036499E" w:rsidP="00531D2C">
      <w:pPr>
        <w:rPr>
          <w:b/>
        </w:rPr>
      </w:pPr>
    </w:p>
    <w:sectPr w:rsidR="0036499E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3" w:rsidRDefault="00EB27D3">
      <w:r>
        <w:separator/>
      </w:r>
    </w:p>
  </w:endnote>
  <w:endnote w:type="continuationSeparator" w:id="0">
    <w:p w:rsidR="00EB27D3" w:rsidRDefault="00E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       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BC79C9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3" w:rsidRDefault="00EB27D3">
      <w:r>
        <w:separator/>
      </w:r>
    </w:p>
  </w:footnote>
  <w:footnote w:type="continuationSeparator" w:id="0">
    <w:p w:rsidR="00EB27D3" w:rsidRDefault="00EB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867EBB" w:rsidTr="00867EBB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67EBB" w:rsidRDefault="00867EBB" w:rsidP="00867EBB">
          <w:pPr>
            <w:snapToGrid w:val="0"/>
            <w:rPr>
              <w:rFonts w:cs="Arial"/>
            </w:rPr>
          </w:pPr>
          <w:r>
            <w:t>Dictionnaire de données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>
            <w:rPr>
              <w:rFonts w:cs="Arial"/>
            </w:rPr>
            <w:fldChar w:fldCharType="end"/>
          </w:r>
        </w:p>
      </w:tc>
    </w:tr>
    <w:tr w:rsidR="00867EBB" w:rsidRPr="00867EBB" w:rsidTr="00867EBB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67EBB" w:rsidRPr="00867EBB" w:rsidRDefault="00867EBB" w:rsidP="002D2F3A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>
            <w:t>Échangeurs du MTO</w:t>
          </w:r>
        </w:p>
      </w:tc>
    </w:tr>
    <w:bookmarkEnd w:id="3"/>
    <w:bookmarkEnd w:id="4"/>
    <w:bookmarkEnd w:id="5"/>
    <w:bookmarkEnd w:id="6"/>
    <w:bookmarkEnd w:id="7"/>
  </w:tbl>
  <w:p w:rsidR="00C0571E" w:rsidRPr="00867EBB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FB586F">
    <w:pPr>
      <w:pStyle w:val="En-tte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En-tte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867EBB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867EBB" w:rsidRDefault="001024AA" w:rsidP="00F810EA">
          <w:pPr>
            <w:snapToGrid w:val="0"/>
            <w:rPr>
              <w:rFonts w:cs="Arial"/>
            </w:rPr>
          </w:pPr>
          <w:r>
            <w:t>Dictionnaire de données</w:t>
          </w:r>
          <w:r w:rsidRPr="00867EBB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867EBB">
            <w:rPr>
              <w:rFonts w:cs="Arial"/>
            </w:rPr>
            <w:fldChar w:fldCharType="end"/>
          </w:r>
          <w:r w:rsidRPr="00867EBB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867EBB">
            <w:rPr>
              <w:rFonts w:cs="Arial"/>
            </w:rPr>
            <w:fldChar w:fldCharType="end"/>
          </w:r>
        </w:p>
      </w:tc>
    </w:tr>
    <w:tr w:rsidR="001024AA" w:rsidTr="00867EBB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867EBB" w:rsidRDefault="00840A77" w:rsidP="00F810EA">
          <w:pPr>
            <w:snapToGrid w:val="0"/>
            <w:rPr>
              <w:rFonts w:cs="Arial"/>
            </w:rPr>
          </w:pPr>
          <w:r>
            <w:t>Échangeurs du MTO</w:t>
          </w:r>
        </w:p>
      </w:tc>
    </w:tr>
  </w:tbl>
  <w:p w:rsidR="00C0571E" w:rsidRDefault="00C0571E" w:rsidP="001024AA">
    <w:pPr>
      <w:pStyle w:val="En-tte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27CC2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16E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101E35"/>
    <w:rsid w:val="001024AA"/>
    <w:rsid w:val="001060E7"/>
    <w:rsid w:val="0010774A"/>
    <w:rsid w:val="001127CA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550A6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74C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2F3A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83486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B6028"/>
    <w:rsid w:val="004C6225"/>
    <w:rsid w:val="004C7CAD"/>
    <w:rsid w:val="004D525E"/>
    <w:rsid w:val="004D52E7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36766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1D9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40A77"/>
    <w:rsid w:val="00850146"/>
    <w:rsid w:val="008503DA"/>
    <w:rsid w:val="008512AC"/>
    <w:rsid w:val="00852009"/>
    <w:rsid w:val="008532A6"/>
    <w:rsid w:val="00856398"/>
    <w:rsid w:val="00860E2B"/>
    <w:rsid w:val="00866F6E"/>
    <w:rsid w:val="00867EBB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8250C"/>
    <w:rsid w:val="00992FA6"/>
    <w:rsid w:val="009A1889"/>
    <w:rsid w:val="009A2415"/>
    <w:rsid w:val="009A468F"/>
    <w:rsid w:val="009B3C66"/>
    <w:rsid w:val="009B4096"/>
    <w:rsid w:val="009C05F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1419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C79C9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4B85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209C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B39AF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0AF0"/>
    <w:rsid w:val="00E7279D"/>
    <w:rsid w:val="00E73BD1"/>
    <w:rsid w:val="00EA1D44"/>
    <w:rsid w:val="00EB0BCC"/>
    <w:rsid w:val="00EB19F8"/>
    <w:rsid w:val="00EB27D3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1FD9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B586F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3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Roberto RF. Freyre</cp:lastModifiedBy>
  <cp:revision>6</cp:revision>
  <cp:lastPrinted>2014-08-07T17:06:00Z</cp:lastPrinted>
  <dcterms:created xsi:type="dcterms:W3CDTF">2015-11-17T16:28:00Z</dcterms:created>
  <dcterms:modified xsi:type="dcterms:W3CDTF">2016-01-19T16:12:00Z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